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F5107B8">
      <w:pPr>
        <w:spacing w:before="240" w:beforeLines="100" w:line="360" w:lineRule="auto"/>
        <w:jc w:val="center"/>
        <w:rPr>
          <w:rFonts w:ascii="宋体" w:hAnsi="宋体"/>
          <w:color w:val="auto"/>
          <w:sz w:val="48"/>
          <w:szCs w:val="48"/>
          <w:highlight w:val="none"/>
        </w:rPr>
      </w:pPr>
      <w:bookmarkStart w:id="0" w:name="OLE_LINK2"/>
      <w:bookmarkStart w:id="98" w:name="_GoBack"/>
      <w:r>
        <w:rPr>
          <w:rFonts w:hint="eastAsia" w:ascii="宋体" w:hAnsi="宋体"/>
          <w:color w:val="auto"/>
          <w:sz w:val="48"/>
          <w:szCs w:val="48"/>
          <w:highlight w:val="none"/>
        </w:rPr>
        <w:t>盐城市大丰区综合立体交通网规划编制项目</w:t>
      </w:r>
    </w:p>
    <w:p w14:paraId="3F783846">
      <w:pPr>
        <w:pStyle w:val="38"/>
        <w:rPr>
          <w:rFonts w:hint="default"/>
          <w:color w:val="auto"/>
          <w:highlight w:val="none"/>
        </w:rPr>
      </w:pPr>
    </w:p>
    <w:bookmarkEnd w:id="0"/>
    <w:p w14:paraId="04B61DDA">
      <w:pPr>
        <w:tabs>
          <w:tab w:val="left" w:pos="8544"/>
        </w:tabs>
        <w:spacing w:line="360" w:lineRule="auto"/>
        <w:jc w:val="left"/>
        <w:rPr>
          <w:rFonts w:ascii="宋体" w:hAnsi="宋体"/>
          <w:color w:val="auto"/>
          <w:sz w:val="72"/>
          <w:szCs w:val="72"/>
          <w:highlight w:val="none"/>
        </w:rPr>
      </w:pPr>
      <w:r>
        <w:rPr>
          <w:rFonts w:ascii="宋体" w:hAnsi="宋体"/>
          <w:color w:val="auto"/>
          <w:sz w:val="72"/>
          <w:szCs w:val="72"/>
          <w:highlight w:val="none"/>
        </w:rPr>
        <w:tab/>
      </w:r>
    </w:p>
    <w:p w14:paraId="77CD795C">
      <w:pPr>
        <w:spacing w:line="360" w:lineRule="auto"/>
        <w:jc w:val="center"/>
        <w:rPr>
          <w:rFonts w:ascii="宋体" w:hAnsi="宋体"/>
          <w:color w:val="auto"/>
          <w:sz w:val="72"/>
          <w:szCs w:val="72"/>
          <w:highlight w:val="none"/>
        </w:rPr>
      </w:pPr>
      <w:r>
        <w:rPr>
          <w:rFonts w:hint="eastAsia" w:ascii="宋体" w:hAnsi="宋体"/>
          <w:color w:val="auto"/>
          <w:sz w:val="72"/>
          <w:szCs w:val="72"/>
          <w:highlight w:val="none"/>
        </w:rPr>
        <w:t xml:space="preserve">                                                                                                                               </w:t>
      </w:r>
    </w:p>
    <w:p w14:paraId="0F50145E">
      <w:pPr>
        <w:spacing w:line="360" w:lineRule="auto"/>
        <w:jc w:val="center"/>
        <w:rPr>
          <w:rFonts w:ascii="宋体" w:hAnsi="宋体"/>
          <w:color w:val="auto"/>
          <w:sz w:val="84"/>
          <w:szCs w:val="84"/>
          <w:highlight w:val="none"/>
        </w:rPr>
      </w:pPr>
      <w:r>
        <w:rPr>
          <w:rFonts w:hint="eastAsia" w:ascii="宋体" w:hAnsi="宋体"/>
          <w:color w:val="auto"/>
          <w:sz w:val="84"/>
          <w:szCs w:val="84"/>
          <w:highlight w:val="none"/>
        </w:rPr>
        <w:t>招 标 文 件</w:t>
      </w:r>
    </w:p>
    <w:p w14:paraId="3D234D4A">
      <w:pPr>
        <w:spacing w:line="360" w:lineRule="auto"/>
        <w:jc w:val="center"/>
        <w:rPr>
          <w:rFonts w:ascii="宋体" w:hAnsi="宋体"/>
          <w:color w:val="auto"/>
          <w:sz w:val="28"/>
          <w:szCs w:val="28"/>
          <w:highlight w:val="none"/>
        </w:rPr>
      </w:pPr>
    </w:p>
    <w:p w14:paraId="0D734332">
      <w:pPr>
        <w:spacing w:line="360" w:lineRule="auto"/>
        <w:jc w:val="center"/>
        <w:rPr>
          <w:rFonts w:ascii="宋体" w:hAnsi="宋体"/>
          <w:color w:val="auto"/>
          <w:sz w:val="36"/>
          <w:szCs w:val="28"/>
          <w:highlight w:val="none"/>
        </w:rPr>
      </w:pPr>
    </w:p>
    <w:p w14:paraId="148BBE8E">
      <w:pPr>
        <w:spacing w:line="360" w:lineRule="auto"/>
        <w:jc w:val="center"/>
        <w:rPr>
          <w:rFonts w:ascii="宋体" w:hAnsi="宋体"/>
          <w:color w:val="auto"/>
          <w:sz w:val="28"/>
          <w:szCs w:val="28"/>
          <w:highlight w:val="none"/>
        </w:rPr>
      </w:pPr>
    </w:p>
    <w:p w14:paraId="4D573BCD">
      <w:pPr>
        <w:pStyle w:val="38"/>
        <w:rPr>
          <w:rFonts w:hint="default"/>
          <w:color w:val="auto"/>
          <w:highlight w:val="none"/>
        </w:rPr>
      </w:pPr>
    </w:p>
    <w:p w14:paraId="3E6729B1">
      <w:pPr>
        <w:spacing w:line="360" w:lineRule="auto"/>
        <w:jc w:val="center"/>
        <w:rPr>
          <w:rFonts w:ascii="宋体" w:hAnsi="宋体"/>
          <w:color w:val="auto"/>
          <w:sz w:val="28"/>
          <w:szCs w:val="28"/>
          <w:highlight w:val="none"/>
        </w:rPr>
      </w:pPr>
    </w:p>
    <w:p w14:paraId="6B6649D4">
      <w:pPr>
        <w:spacing w:line="1000" w:lineRule="exact"/>
        <w:ind w:right="-170" w:firstLine="627"/>
        <w:rPr>
          <w:rFonts w:ascii="宋体" w:hAnsi="宋体"/>
          <w:color w:val="auto"/>
          <w:sz w:val="32"/>
          <w:szCs w:val="32"/>
          <w:highlight w:val="none"/>
        </w:rPr>
      </w:pPr>
      <w:bookmarkStart w:id="1" w:name="_Toc363326675"/>
      <w:bookmarkStart w:id="2" w:name="_Toc369077541"/>
      <w:bookmarkStart w:id="3" w:name="_Toc368759509"/>
    </w:p>
    <w:p w14:paraId="40B35318">
      <w:pPr>
        <w:spacing w:line="1000" w:lineRule="exact"/>
        <w:ind w:left="1680" w:leftChars="800" w:right="-170"/>
        <w:rPr>
          <w:rFonts w:ascii="宋体" w:hAnsi="宋体"/>
          <w:color w:val="auto"/>
          <w:sz w:val="36"/>
          <w:szCs w:val="32"/>
          <w:highlight w:val="none"/>
        </w:rPr>
      </w:pPr>
      <w:r>
        <w:rPr>
          <w:rFonts w:hint="eastAsia" w:ascii="宋体" w:hAnsi="宋体"/>
          <w:color w:val="auto"/>
          <w:sz w:val="36"/>
          <w:szCs w:val="32"/>
          <w:highlight w:val="none"/>
        </w:rPr>
        <w:t>招  标  人：</w:t>
      </w:r>
      <w:r>
        <w:rPr>
          <w:rFonts w:hint="eastAsia" w:ascii="宋体" w:hAnsi="宋体"/>
          <w:color w:val="auto"/>
          <w:sz w:val="36"/>
          <w:szCs w:val="32"/>
          <w:highlight w:val="none"/>
          <w:u w:val="single"/>
        </w:rPr>
        <w:t xml:space="preserve">  盐城市大丰区交通运输局  </w:t>
      </w:r>
    </w:p>
    <w:p w14:paraId="55F37864">
      <w:pPr>
        <w:tabs>
          <w:tab w:val="left" w:pos="7560"/>
        </w:tabs>
        <w:spacing w:line="1000" w:lineRule="exact"/>
        <w:ind w:left="1680" w:leftChars="800" w:right="-111"/>
        <w:rPr>
          <w:rFonts w:ascii="宋体" w:hAnsi="宋体"/>
          <w:color w:val="auto"/>
          <w:sz w:val="36"/>
          <w:szCs w:val="32"/>
          <w:highlight w:val="none"/>
        </w:rPr>
      </w:pPr>
      <w:r>
        <w:rPr>
          <w:rFonts w:hint="eastAsia" w:ascii="宋体" w:hAnsi="宋体"/>
          <w:color w:val="auto"/>
          <w:sz w:val="36"/>
          <w:szCs w:val="32"/>
          <w:highlight w:val="none"/>
        </w:rPr>
        <w:t>招标代理机构：</w:t>
      </w:r>
      <w:r>
        <w:rPr>
          <w:rFonts w:hint="eastAsia" w:ascii="宋体" w:hAnsi="宋体"/>
          <w:color w:val="auto"/>
          <w:sz w:val="36"/>
          <w:szCs w:val="32"/>
          <w:highlight w:val="none"/>
          <w:u w:val="single"/>
        </w:rPr>
        <w:t xml:space="preserve">  江苏伟业项目管理有限公司  </w:t>
      </w:r>
    </w:p>
    <w:p w14:paraId="104CE982">
      <w:pPr>
        <w:spacing w:line="1000" w:lineRule="exact"/>
        <w:ind w:left="1680" w:leftChars="800"/>
        <w:rPr>
          <w:rFonts w:ascii="宋体" w:hAnsi="宋体"/>
          <w:color w:val="auto"/>
          <w:sz w:val="36"/>
          <w:szCs w:val="32"/>
          <w:highlight w:val="none"/>
        </w:rPr>
      </w:pPr>
      <w:r>
        <w:rPr>
          <w:rFonts w:hint="eastAsia" w:ascii="宋体" w:hAnsi="宋体"/>
          <w:color w:val="auto"/>
          <w:sz w:val="36"/>
          <w:szCs w:val="32"/>
          <w:highlight w:val="none"/>
        </w:rPr>
        <w:t>日      期：      202</w:t>
      </w:r>
      <w:r>
        <w:rPr>
          <w:rFonts w:ascii="宋体" w:hAnsi="宋体"/>
          <w:color w:val="auto"/>
          <w:sz w:val="36"/>
          <w:szCs w:val="32"/>
          <w:highlight w:val="none"/>
        </w:rPr>
        <w:t>5</w:t>
      </w:r>
      <w:r>
        <w:rPr>
          <w:rFonts w:hint="eastAsia" w:ascii="宋体" w:hAnsi="宋体"/>
          <w:color w:val="auto"/>
          <w:sz w:val="36"/>
          <w:szCs w:val="32"/>
          <w:highlight w:val="none"/>
        </w:rPr>
        <w:t>年</w:t>
      </w:r>
      <w:r>
        <w:rPr>
          <w:rFonts w:hint="eastAsia" w:ascii="宋体" w:hAnsi="宋体"/>
          <w:color w:val="auto"/>
          <w:sz w:val="36"/>
          <w:szCs w:val="32"/>
          <w:highlight w:val="none"/>
          <w:lang w:val="en-US" w:eastAsia="zh-CN"/>
        </w:rPr>
        <w:t>11</w:t>
      </w:r>
      <w:r>
        <w:rPr>
          <w:rFonts w:hint="eastAsia" w:ascii="宋体" w:hAnsi="宋体"/>
          <w:color w:val="auto"/>
          <w:sz w:val="36"/>
          <w:szCs w:val="32"/>
          <w:highlight w:val="none"/>
        </w:rPr>
        <w:t>月</w:t>
      </w:r>
    </w:p>
    <w:bookmarkEnd w:id="1"/>
    <w:bookmarkEnd w:id="2"/>
    <w:bookmarkEnd w:id="3"/>
    <w:p w14:paraId="546CBCAE">
      <w:pPr>
        <w:pStyle w:val="186"/>
        <w:spacing w:line="600" w:lineRule="exact"/>
        <w:rPr>
          <w:color w:val="auto"/>
          <w:highlight w:val="none"/>
        </w:rPr>
      </w:pPr>
      <w:bookmarkStart w:id="4" w:name="_Toc498782198"/>
      <w:bookmarkStart w:id="5" w:name="_Toc368759511"/>
      <w:bookmarkStart w:id="6" w:name="_Toc369077550"/>
      <w:bookmarkStart w:id="7" w:name="_Toc367894798"/>
      <w:bookmarkStart w:id="8" w:name="_Toc18948"/>
      <w:bookmarkStart w:id="9" w:name="_Toc184635071"/>
      <w:bookmarkStart w:id="10" w:name="_Toc387526179"/>
      <w:bookmarkStart w:id="11" w:name="_Toc363329370"/>
      <w:bookmarkStart w:id="12" w:name="_Toc387526375"/>
      <w:bookmarkStart w:id="13" w:name="_Toc397928549"/>
      <w:bookmarkStart w:id="14" w:name="_Toc387526283"/>
      <w:bookmarkStart w:id="15" w:name="_Toc368760427"/>
      <w:bookmarkStart w:id="16" w:name="_Toc369077561"/>
      <w:bookmarkStart w:id="17" w:name="_Toc368759375"/>
      <w:r>
        <w:rPr>
          <w:color w:val="auto"/>
          <w:highlight w:val="none"/>
        </w:rPr>
        <w:br w:type="page"/>
      </w:r>
      <w:r>
        <w:rPr>
          <w:color w:val="auto"/>
          <w:highlight w:val="none"/>
        </w:rPr>
        <w:t>第一章</w:t>
      </w:r>
      <w:bookmarkStart w:id="18" w:name="OLE_LINK1"/>
      <w:r>
        <w:rPr>
          <w:rFonts w:hint="eastAsia"/>
          <w:color w:val="auto"/>
          <w:highlight w:val="none"/>
        </w:rPr>
        <w:t xml:space="preserve"> </w:t>
      </w:r>
      <w:r>
        <w:rPr>
          <w:color w:val="auto"/>
          <w:highlight w:val="none"/>
        </w:rPr>
        <w:t>招标公告</w:t>
      </w:r>
      <w:bookmarkEnd w:id="4"/>
    </w:p>
    <w:p w14:paraId="5B4FDD61">
      <w:pPr>
        <w:widowControl/>
        <w:shd w:val="clear" w:color="auto" w:fill="FFFFFF"/>
        <w:spacing w:line="500" w:lineRule="exact"/>
        <w:ind w:firstLine="422"/>
        <w:jc w:val="left"/>
        <w:rPr>
          <w:rFonts w:ascii="宋体" w:hAnsi="宋体" w:cs="宋体"/>
          <w:color w:val="auto"/>
          <w:szCs w:val="21"/>
          <w:highlight w:val="none"/>
        </w:rPr>
      </w:pPr>
      <w:bookmarkStart w:id="19" w:name="_Toc498782219"/>
      <w:r>
        <w:rPr>
          <w:rFonts w:hint="eastAsia" w:ascii="宋体" w:hAnsi="宋体" w:cs="宋体"/>
          <w:b/>
          <w:bCs/>
          <w:color w:val="auto"/>
          <w:szCs w:val="21"/>
          <w:highlight w:val="none"/>
          <w:shd w:val="clear" w:color="auto" w:fill="FFFFFF"/>
        </w:rPr>
        <w:t>项目概况：</w:t>
      </w:r>
      <w:r>
        <w:rPr>
          <w:rFonts w:hint="eastAsia" w:ascii="宋体" w:hAnsi="宋体" w:cs="宋体"/>
          <w:color w:val="auto"/>
          <w:szCs w:val="21"/>
          <w:highlight w:val="none"/>
          <w:u w:val="single"/>
          <w:shd w:val="clear" w:color="auto" w:fill="FFFFFF"/>
        </w:rPr>
        <w:t>盐城市大丰区综合立体交通网规划编制项目</w:t>
      </w:r>
      <w:r>
        <w:rPr>
          <w:rFonts w:hint="eastAsia" w:ascii="宋体" w:hAnsi="宋体" w:cs="宋体"/>
          <w:color w:val="auto"/>
          <w:szCs w:val="21"/>
          <w:highlight w:val="none"/>
          <w:shd w:val="clear" w:color="auto" w:fill="FFFFFF"/>
        </w:rPr>
        <w:t>的潜在投标人应在“苏采云”系统，网址：http://jszfcg.jsczt.cn/获取招标文件（投标人必须在苏采云系统中获取采购文件，方能参与政府采购项目），并于202</w:t>
      </w:r>
      <w:r>
        <w:rPr>
          <w:rFonts w:ascii="宋体" w:hAnsi="宋体" w:cs="宋体"/>
          <w:color w:val="auto"/>
          <w:szCs w:val="21"/>
          <w:highlight w:val="none"/>
          <w:shd w:val="clear" w:color="auto" w:fill="FFFFFF"/>
        </w:rPr>
        <w:t>5</w:t>
      </w:r>
      <w:r>
        <w:rPr>
          <w:rFonts w:hint="eastAsia" w:ascii="宋体" w:hAnsi="宋体" w:cs="宋体"/>
          <w:color w:val="auto"/>
          <w:szCs w:val="21"/>
          <w:highlight w:val="none"/>
          <w:shd w:val="clear" w:color="auto" w:fill="FFFFFF"/>
        </w:rPr>
        <w:t>年</w:t>
      </w:r>
      <w:r>
        <w:rPr>
          <w:rFonts w:hint="eastAsia" w:ascii="宋体" w:hAnsi="宋体" w:cs="宋体"/>
          <w:color w:val="auto"/>
          <w:szCs w:val="21"/>
          <w:highlight w:val="none"/>
          <w:shd w:val="clear" w:color="auto" w:fill="FFFFFF"/>
          <w:lang w:val="en-US" w:eastAsia="zh-CN"/>
        </w:rPr>
        <w:t>12</w:t>
      </w:r>
      <w:r>
        <w:rPr>
          <w:rFonts w:hint="eastAsia" w:ascii="宋体" w:hAnsi="宋体" w:cs="宋体"/>
          <w:color w:val="auto"/>
          <w:szCs w:val="21"/>
          <w:highlight w:val="none"/>
          <w:shd w:val="clear" w:color="auto" w:fill="FFFFFF"/>
        </w:rPr>
        <w:t>月</w:t>
      </w:r>
      <w:r>
        <w:rPr>
          <w:rFonts w:hint="eastAsia" w:ascii="宋体" w:hAnsi="宋体" w:cs="宋体"/>
          <w:color w:val="auto"/>
          <w:szCs w:val="21"/>
          <w:highlight w:val="none"/>
          <w:u w:val="single"/>
          <w:shd w:val="clear" w:color="auto" w:fill="FFFFFF"/>
        </w:rPr>
        <w:t xml:space="preserve"> </w:t>
      </w:r>
      <w:r>
        <w:rPr>
          <w:rFonts w:hint="eastAsia" w:ascii="宋体" w:hAnsi="宋体" w:cs="宋体"/>
          <w:color w:val="auto"/>
          <w:szCs w:val="21"/>
          <w:highlight w:val="none"/>
          <w:u w:val="single"/>
          <w:shd w:val="clear" w:color="auto" w:fill="FFFFFF"/>
          <w:lang w:val="en-US" w:eastAsia="zh-CN"/>
        </w:rPr>
        <w:t>2</w:t>
      </w:r>
      <w:r>
        <w:rPr>
          <w:rFonts w:hint="eastAsia" w:ascii="宋体" w:hAnsi="宋体" w:cs="宋体"/>
          <w:color w:val="auto"/>
          <w:szCs w:val="21"/>
          <w:highlight w:val="none"/>
          <w:u w:val="single"/>
          <w:shd w:val="clear" w:color="auto" w:fill="FFFFFF"/>
        </w:rPr>
        <w:t xml:space="preserve"> </w:t>
      </w:r>
      <w:r>
        <w:rPr>
          <w:rFonts w:hint="eastAsia" w:ascii="宋体" w:hAnsi="宋体" w:cs="宋体"/>
          <w:color w:val="auto"/>
          <w:szCs w:val="21"/>
          <w:highlight w:val="none"/>
          <w:shd w:val="clear" w:color="auto" w:fill="FFFFFF"/>
        </w:rPr>
        <w:t>日</w:t>
      </w:r>
      <w:r>
        <w:rPr>
          <w:rFonts w:hint="eastAsia" w:ascii="宋体" w:hAnsi="宋体" w:cs="宋体"/>
          <w:color w:val="auto"/>
          <w:szCs w:val="21"/>
          <w:highlight w:val="none"/>
          <w:shd w:val="clear" w:color="auto" w:fill="FFFFFF"/>
          <w:lang w:val="en-US" w:eastAsia="zh-CN"/>
        </w:rPr>
        <w:t>9</w:t>
      </w:r>
      <w:r>
        <w:rPr>
          <w:rFonts w:hint="eastAsia" w:ascii="宋体" w:hAnsi="宋体" w:cs="宋体"/>
          <w:color w:val="auto"/>
          <w:szCs w:val="21"/>
          <w:highlight w:val="none"/>
          <w:shd w:val="clear" w:color="auto" w:fill="FFFFFF"/>
        </w:rPr>
        <w:t>时</w:t>
      </w:r>
      <w:r>
        <w:rPr>
          <w:rFonts w:hint="eastAsia" w:ascii="宋体" w:hAnsi="宋体" w:cs="宋体"/>
          <w:color w:val="auto"/>
          <w:szCs w:val="21"/>
          <w:highlight w:val="none"/>
          <w:shd w:val="clear" w:color="auto" w:fill="FFFFFF"/>
          <w:lang w:val="en-US" w:eastAsia="zh-CN"/>
        </w:rPr>
        <w:t>3</w:t>
      </w:r>
      <w:r>
        <w:rPr>
          <w:rFonts w:ascii="宋体" w:hAnsi="宋体" w:cs="宋体"/>
          <w:color w:val="auto"/>
          <w:szCs w:val="21"/>
          <w:highlight w:val="none"/>
          <w:shd w:val="clear" w:color="auto" w:fill="FFFFFF"/>
        </w:rPr>
        <w:t>0</w:t>
      </w:r>
      <w:r>
        <w:rPr>
          <w:rFonts w:hint="eastAsia" w:ascii="宋体" w:hAnsi="宋体" w:cs="宋体"/>
          <w:color w:val="auto"/>
          <w:szCs w:val="21"/>
          <w:highlight w:val="none"/>
          <w:shd w:val="clear" w:color="auto" w:fill="FFFFFF"/>
        </w:rPr>
        <w:t>分0</w:t>
      </w:r>
      <w:r>
        <w:rPr>
          <w:rFonts w:ascii="宋体" w:hAnsi="宋体" w:cs="宋体"/>
          <w:color w:val="auto"/>
          <w:szCs w:val="21"/>
          <w:highlight w:val="none"/>
          <w:shd w:val="clear" w:color="auto" w:fill="FFFFFF"/>
        </w:rPr>
        <w:t>0</w:t>
      </w:r>
      <w:r>
        <w:rPr>
          <w:rFonts w:hint="eastAsia" w:ascii="宋体" w:hAnsi="宋体" w:cs="宋体"/>
          <w:color w:val="auto"/>
          <w:szCs w:val="21"/>
          <w:highlight w:val="none"/>
          <w:shd w:val="clear" w:color="auto" w:fill="FFFFFF"/>
        </w:rPr>
        <w:t>秒（北京时间）前递交投标文件。</w:t>
      </w:r>
    </w:p>
    <w:p w14:paraId="04F3389A">
      <w:pPr>
        <w:widowControl/>
        <w:shd w:val="clear" w:color="auto" w:fill="FFFFFF"/>
        <w:spacing w:line="500" w:lineRule="exact"/>
        <w:ind w:firstLine="422"/>
        <w:jc w:val="left"/>
        <w:rPr>
          <w:rFonts w:ascii="宋体" w:hAnsi="宋体" w:cs="宋体"/>
          <w:color w:val="auto"/>
          <w:szCs w:val="21"/>
          <w:highlight w:val="none"/>
        </w:rPr>
      </w:pPr>
      <w:r>
        <w:rPr>
          <w:rFonts w:hint="eastAsia" w:ascii="宋体" w:hAnsi="宋体" w:cs="宋体"/>
          <w:b/>
          <w:bCs/>
          <w:color w:val="auto"/>
          <w:szCs w:val="21"/>
          <w:highlight w:val="none"/>
          <w:shd w:val="clear" w:color="auto" w:fill="FFFFFF"/>
        </w:rPr>
        <w:t>一、项目基本情况</w:t>
      </w:r>
    </w:p>
    <w:p w14:paraId="4931428D">
      <w:pPr>
        <w:widowControl/>
        <w:shd w:val="clear" w:color="auto" w:fill="FFFFFF"/>
        <w:spacing w:line="500" w:lineRule="exact"/>
        <w:ind w:firstLine="420"/>
        <w:jc w:val="left"/>
        <w:rPr>
          <w:rFonts w:ascii="宋体" w:hAnsi="宋体" w:cs="宋体"/>
          <w:color w:val="auto"/>
          <w:szCs w:val="21"/>
          <w:highlight w:val="none"/>
          <w:u w:val="single"/>
          <w:shd w:val="clear" w:color="auto" w:fill="FFFFFF"/>
        </w:rPr>
      </w:pPr>
      <w:r>
        <w:rPr>
          <w:rFonts w:hint="eastAsia" w:ascii="宋体" w:hAnsi="宋体" w:cs="宋体"/>
          <w:color w:val="auto"/>
          <w:szCs w:val="21"/>
          <w:highlight w:val="none"/>
          <w:shd w:val="clear" w:color="auto" w:fill="FFFFFF"/>
        </w:rPr>
        <w:t>1、项目编号：</w:t>
      </w:r>
      <w:r>
        <w:rPr>
          <w:rFonts w:hint="eastAsia" w:ascii="宋体" w:hAnsi="宋体" w:cs="宋体"/>
          <w:color w:val="auto"/>
          <w:szCs w:val="21"/>
          <w:highlight w:val="none"/>
          <w:u w:val="single"/>
          <w:shd w:val="clear" w:color="auto" w:fill="FFFFFF"/>
        </w:rPr>
        <w:t xml:space="preserve">JSZC-320904-WYGS-G2025-0091 </w:t>
      </w:r>
    </w:p>
    <w:p w14:paraId="5D57A90A">
      <w:pPr>
        <w:widowControl/>
        <w:shd w:val="clear" w:color="auto" w:fill="FFFFFF"/>
        <w:spacing w:line="500" w:lineRule="exact"/>
        <w:ind w:firstLine="420"/>
        <w:jc w:val="left"/>
        <w:rPr>
          <w:rFonts w:ascii="宋体" w:hAnsi="宋体" w:cs="宋体"/>
          <w:color w:val="auto"/>
          <w:szCs w:val="21"/>
          <w:highlight w:val="none"/>
        </w:rPr>
      </w:pPr>
      <w:r>
        <w:rPr>
          <w:rFonts w:hint="eastAsia" w:ascii="宋体" w:hAnsi="宋体" w:cs="宋体"/>
          <w:color w:val="auto"/>
          <w:szCs w:val="21"/>
          <w:highlight w:val="none"/>
          <w:shd w:val="clear" w:color="auto" w:fill="FFFFFF"/>
        </w:rPr>
        <w:t>2、项目名称：</w:t>
      </w:r>
      <w:r>
        <w:rPr>
          <w:rFonts w:hint="eastAsia" w:ascii="宋体" w:hAnsi="宋体" w:cs="宋体"/>
          <w:color w:val="auto"/>
          <w:szCs w:val="21"/>
          <w:highlight w:val="none"/>
          <w:u w:val="single"/>
          <w:shd w:val="clear" w:color="auto" w:fill="FFFFFF"/>
        </w:rPr>
        <w:t>盐城市大丰区综合立体交通网规划编制项目</w:t>
      </w:r>
    </w:p>
    <w:p w14:paraId="15CE12F9">
      <w:pPr>
        <w:widowControl/>
        <w:shd w:val="clear" w:color="auto" w:fill="FFFFFF"/>
        <w:spacing w:line="500" w:lineRule="exact"/>
        <w:ind w:firstLine="420"/>
        <w:jc w:val="left"/>
        <w:rPr>
          <w:rFonts w:ascii="宋体" w:hAnsi="宋体" w:cs="宋体"/>
          <w:color w:val="auto"/>
          <w:szCs w:val="21"/>
          <w:highlight w:val="none"/>
          <w:shd w:val="clear" w:color="auto" w:fill="FFFFFF"/>
        </w:rPr>
      </w:pPr>
      <w:r>
        <w:rPr>
          <w:rFonts w:hint="eastAsia" w:ascii="宋体" w:hAnsi="宋体" w:cs="宋体"/>
          <w:color w:val="auto"/>
          <w:szCs w:val="21"/>
          <w:highlight w:val="none"/>
          <w:shd w:val="clear" w:color="auto" w:fill="FFFFFF"/>
        </w:rPr>
        <w:t>3、预算金额：</w:t>
      </w:r>
      <w:r>
        <w:rPr>
          <w:rFonts w:hint="eastAsia" w:ascii="宋体" w:hAnsi="宋体" w:cs="宋体"/>
          <w:color w:val="auto"/>
          <w:szCs w:val="21"/>
          <w:highlight w:val="none"/>
          <w:u w:val="single"/>
          <w:shd w:val="clear" w:color="auto" w:fill="FFFFFF"/>
        </w:rPr>
        <w:t>200</w:t>
      </w:r>
      <w:r>
        <w:rPr>
          <w:rFonts w:hint="eastAsia" w:ascii="宋体" w:hAnsi="宋体" w:cs="宋体"/>
          <w:color w:val="auto"/>
          <w:szCs w:val="21"/>
          <w:highlight w:val="none"/>
          <w:shd w:val="clear" w:color="auto" w:fill="FFFFFF"/>
        </w:rPr>
        <w:t>万元</w:t>
      </w:r>
    </w:p>
    <w:p w14:paraId="7C10C564">
      <w:pPr>
        <w:widowControl/>
        <w:shd w:val="clear" w:color="auto" w:fill="FFFFFF"/>
        <w:spacing w:line="500" w:lineRule="exact"/>
        <w:ind w:firstLine="420"/>
        <w:jc w:val="left"/>
        <w:rPr>
          <w:rFonts w:ascii="宋体" w:hAnsi="宋体" w:cs="宋体"/>
          <w:color w:val="auto"/>
          <w:szCs w:val="21"/>
          <w:highlight w:val="none"/>
        </w:rPr>
      </w:pPr>
      <w:r>
        <w:rPr>
          <w:rFonts w:hint="eastAsia" w:ascii="宋体" w:hAnsi="宋体" w:cs="宋体"/>
          <w:color w:val="auto"/>
          <w:szCs w:val="21"/>
          <w:highlight w:val="none"/>
          <w:shd w:val="clear" w:color="auto" w:fill="FFFFFF"/>
        </w:rPr>
        <w:t>4、最高限价：</w:t>
      </w:r>
      <w:r>
        <w:rPr>
          <w:rFonts w:hint="eastAsia" w:ascii="宋体" w:hAnsi="宋体" w:cs="宋体"/>
          <w:color w:val="auto"/>
          <w:szCs w:val="21"/>
          <w:highlight w:val="none"/>
          <w:u w:val="single"/>
          <w:shd w:val="clear" w:color="auto" w:fill="FFFFFF"/>
        </w:rPr>
        <w:t>200</w:t>
      </w:r>
      <w:r>
        <w:rPr>
          <w:rFonts w:hint="eastAsia" w:ascii="宋体" w:hAnsi="宋体" w:cs="宋体"/>
          <w:color w:val="auto"/>
          <w:szCs w:val="21"/>
          <w:highlight w:val="none"/>
          <w:shd w:val="clear" w:color="auto" w:fill="FFFFFF"/>
        </w:rPr>
        <w:t>万元</w:t>
      </w:r>
    </w:p>
    <w:p w14:paraId="54B0292F">
      <w:pPr>
        <w:widowControl/>
        <w:shd w:val="clear" w:color="auto" w:fill="FFFFFF"/>
        <w:spacing w:line="500" w:lineRule="exact"/>
        <w:ind w:firstLine="420"/>
        <w:jc w:val="left"/>
        <w:rPr>
          <w:rFonts w:ascii="宋体" w:hAnsi="宋体" w:cs="宋体"/>
          <w:color w:val="auto"/>
          <w:szCs w:val="21"/>
          <w:highlight w:val="none"/>
        </w:rPr>
      </w:pPr>
      <w:r>
        <w:rPr>
          <w:rFonts w:ascii="宋体" w:hAnsi="宋体" w:cs="宋体"/>
          <w:color w:val="auto"/>
          <w:szCs w:val="21"/>
          <w:highlight w:val="none"/>
          <w:shd w:val="clear" w:color="auto" w:fill="FFFFFF"/>
        </w:rPr>
        <w:t>5</w:t>
      </w:r>
      <w:r>
        <w:rPr>
          <w:rFonts w:hint="eastAsia" w:ascii="宋体" w:hAnsi="宋体" w:cs="宋体"/>
          <w:color w:val="auto"/>
          <w:szCs w:val="21"/>
          <w:highlight w:val="none"/>
          <w:shd w:val="clear" w:color="auto" w:fill="FFFFFF"/>
        </w:rPr>
        <w:t>、资金来源：</w:t>
      </w:r>
      <w:r>
        <w:rPr>
          <w:rFonts w:hint="eastAsia" w:ascii="宋体" w:hAnsi="宋体" w:cs="宋体"/>
          <w:color w:val="auto"/>
          <w:szCs w:val="21"/>
          <w:highlight w:val="none"/>
          <w:u w:val="single"/>
          <w:shd w:val="clear" w:color="auto" w:fill="FFFFFF"/>
        </w:rPr>
        <w:t>财政性资金</w:t>
      </w:r>
    </w:p>
    <w:p w14:paraId="60635B9A">
      <w:pPr>
        <w:widowControl/>
        <w:shd w:val="clear" w:color="auto" w:fill="FFFFFF"/>
        <w:spacing w:line="500" w:lineRule="exact"/>
        <w:ind w:firstLine="420"/>
        <w:jc w:val="left"/>
        <w:rPr>
          <w:color w:val="auto"/>
          <w:szCs w:val="21"/>
          <w:highlight w:val="none"/>
        </w:rPr>
      </w:pPr>
      <w:r>
        <w:rPr>
          <w:rFonts w:ascii="宋体" w:hAnsi="宋体" w:cs="宋体"/>
          <w:color w:val="auto"/>
          <w:szCs w:val="21"/>
          <w:highlight w:val="none"/>
          <w:shd w:val="clear" w:color="auto" w:fill="FFFFFF"/>
        </w:rPr>
        <w:t>6</w:t>
      </w:r>
      <w:r>
        <w:rPr>
          <w:rFonts w:hint="eastAsia" w:ascii="宋体" w:hAnsi="宋体" w:cs="宋体"/>
          <w:color w:val="auto"/>
          <w:szCs w:val="21"/>
          <w:highlight w:val="none"/>
          <w:shd w:val="clear" w:color="auto" w:fill="FFFFFF"/>
        </w:rPr>
        <w:t>、采购需求：完成大丰区综合立体交通网规划编制、审核等服务，包含1</w:t>
      </w:r>
      <w:r>
        <w:rPr>
          <w:rFonts w:ascii="宋体" w:hAnsi="宋体" w:cs="宋体"/>
          <w:color w:val="auto"/>
          <w:szCs w:val="21"/>
          <w:highlight w:val="none"/>
          <w:shd w:val="clear" w:color="auto" w:fill="FFFFFF"/>
        </w:rPr>
        <w:t>个总报告</w:t>
      </w:r>
      <w:r>
        <w:rPr>
          <w:rFonts w:hint="eastAsia" w:ascii="宋体" w:hAnsi="宋体" w:cs="宋体"/>
          <w:color w:val="auto"/>
          <w:szCs w:val="21"/>
          <w:highlight w:val="none"/>
          <w:shd w:val="clear" w:color="auto" w:fill="FFFFFF"/>
        </w:rPr>
        <w:t>（</w:t>
      </w:r>
      <w:r>
        <w:rPr>
          <w:rFonts w:ascii="宋体" w:hAnsi="宋体" w:cs="宋体"/>
          <w:color w:val="auto"/>
          <w:szCs w:val="21"/>
          <w:highlight w:val="none"/>
          <w:shd w:val="clear" w:color="auto" w:fill="FFFFFF"/>
        </w:rPr>
        <w:t>大丰区</w:t>
      </w:r>
      <w:r>
        <w:rPr>
          <w:rFonts w:hint="eastAsia" w:ascii="宋体" w:hAnsi="宋体" w:cs="宋体"/>
          <w:color w:val="auto"/>
          <w:szCs w:val="21"/>
          <w:highlight w:val="none"/>
          <w:shd w:val="clear" w:color="auto" w:fill="FFFFFF"/>
        </w:rPr>
        <w:t>综合立体交通网规划（含</w:t>
      </w:r>
      <w:r>
        <w:rPr>
          <w:rFonts w:ascii="宋体" w:hAnsi="宋体" w:cs="宋体"/>
          <w:color w:val="auto"/>
          <w:szCs w:val="21"/>
          <w:highlight w:val="none"/>
          <w:shd w:val="clear" w:color="auto" w:fill="FFFFFF"/>
        </w:rPr>
        <w:t>“</w:t>
      </w:r>
      <w:r>
        <w:rPr>
          <w:rFonts w:hint="eastAsia" w:ascii="宋体" w:hAnsi="宋体" w:cs="宋体"/>
          <w:color w:val="auto"/>
          <w:szCs w:val="21"/>
          <w:highlight w:val="none"/>
          <w:shd w:val="clear" w:color="auto" w:fill="FFFFFF"/>
        </w:rPr>
        <w:t>十五五</w:t>
      </w:r>
      <w:r>
        <w:rPr>
          <w:rFonts w:ascii="宋体" w:hAnsi="宋体" w:cs="宋体"/>
          <w:color w:val="auto"/>
          <w:szCs w:val="21"/>
          <w:highlight w:val="none"/>
          <w:shd w:val="clear" w:color="auto" w:fill="FFFFFF"/>
        </w:rPr>
        <w:t>规划”</w:t>
      </w:r>
      <w:r>
        <w:rPr>
          <w:rFonts w:hint="eastAsia" w:ascii="宋体" w:hAnsi="宋体" w:cs="宋体"/>
          <w:color w:val="auto"/>
          <w:szCs w:val="21"/>
          <w:highlight w:val="none"/>
          <w:shd w:val="clear" w:color="auto" w:fill="FFFFFF"/>
        </w:rPr>
        <w:t>））、</w:t>
      </w:r>
      <w:r>
        <w:rPr>
          <w:rFonts w:hint="eastAsia" w:ascii="宋体" w:hAnsi="宋体" w:cs="宋体"/>
          <w:color w:val="auto"/>
          <w:szCs w:val="21"/>
          <w:highlight w:val="none"/>
          <w:shd w:val="clear" w:color="auto" w:fill="FFFFFF"/>
          <w:lang w:val="en-US" w:eastAsia="zh-CN"/>
        </w:rPr>
        <w:t>3</w:t>
      </w:r>
      <w:r>
        <w:rPr>
          <w:rFonts w:hint="eastAsia" w:ascii="宋体" w:hAnsi="宋体" w:cs="宋体"/>
          <w:color w:val="auto"/>
          <w:szCs w:val="21"/>
          <w:highlight w:val="none"/>
          <w:shd w:val="clear" w:color="auto" w:fill="FFFFFF"/>
        </w:rPr>
        <w:t>个</w:t>
      </w:r>
      <w:r>
        <w:rPr>
          <w:rFonts w:ascii="宋体" w:hAnsi="宋体" w:cs="宋体"/>
          <w:color w:val="auto"/>
          <w:szCs w:val="21"/>
          <w:highlight w:val="none"/>
          <w:shd w:val="clear" w:color="auto" w:fill="FFFFFF"/>
        </w:rPr>
        <w:t>专题报告</w:t>
      </w:r>
      <w:r>
        <w:rPr>
          <w:rFonts w:hint="eastAsia" w:ascii="宋体" w:hAnsi="宋体" w:cs="宋体"/>
          <w:color w:val="auto"/>
          <w:szCs w:val="21"/>
          <w:highlight w:val="none"/>
          <w:shd w:val="clear" w:color="auto" w:fill="FFFFFF"/>
        </w:rPr>
        <w:t>（</w:t>
      </w:r>
      <w:r>
        <w:rPr>
          <w:rFonts w:ascii="宋体" w:hAnsi="宋体" w:cs="宋体"/>
          <w:color w:val="auto"/>
          <w:szCs w:val="21"/>
          <w:highlight w:val="none"/>
          <w:shd w:val="clear" w:color="auto" w:fill="FFFFFF"/>
        </w:rPr>
        <w:t>大丰区物流降本增效</w:t>
      </w:r>
      <w:r>
        <w:rPr>
          <w:rFonts w:hint="eastAsia" w:ascii="宋体" w:hAnsi="宋体" w:cs="宋体"/>
          <w:color w:val="auto"/>
          <w:szCs w:val="21"/>
          <w:highlight w:val="none"/>
          <w:shd w:val="clear" w:color="auto" w:fill="FFFFFF"/>
        </w:rPr>
        <w:t>调研报告</w:t>
      </w:r>
      <w:r>
        <w:rPr>
          <w:rFonts w:hint="eastAsia" w:ascii="宋体" w:hAnsi="宋体" w:cs="宋体"/>
          <w:color w:val="auto"/>
          <w:szCs w:val="21"/>
          <w:highlight w:val="none"/>
          <w:shd w:val="clear" w:color="auto" w:fill="FFFFFF"/>
          <w:lang w:eastAsia="zh-CN"/>
        </w:rPr>
        <w:t>、</w:t>
      </w:r>
      <w:r>
        <w:rPr>
          <w:rFonts w:hint="eastAsia" w:ascii="宋体" w:hAnsi="宋体" w:cs="宋体"/>
          <w:color w:val="auto"/>
          <w:szCs w:val="21"/>
          <w:highlight w:val="none"/>
          <w:shd w:val="clear" w:color="auto" w:fill="FFFFFF"/>
        </w:rPr>
        <w:t>S363路线</w:t>
      </w:r>
      <w:r>
        <w:rPr>
          <w:rFonts w:ascii="宋体" w:hAnsi="宋体" w:cs="宋体"/>
          <w:color w:val="auto"/>
          <w:szCs w:val="21"/>
          <w:highlight w:val="none"/>
          <w:shd w:val="clear" w:color="auto" w:fill="FFFFFF"/>
        </w:rPr>
        <w:t>方案研究报告</w:t>
      </w:r>
      <w:r>
        <w:rPr>
          <w:rFonts w:hint="eastAsia" w:ascii="宋体" w:hAnsi="宋体" w:cs="宋体"/>
          <w:color w:val="auto"/>
          <w:szCs w:val="21"/>
          <w:highlight w:val="none"/>
          <w:shd w:val="clear" w:color="auto" w:fill="FFFFFF"/>
          <w:lang w:eastAsia="zh-CN"/>
        </w:rPr>
        <w:t>及《大丰区内河港口总体规划（2017~2030）》修订</w:t>
      </w:r>
      <w:r>
        <w:rPr>
          <w:rFonts w:hint="eastAsia" w:ascii="宋体" w:hAnsi="宋体" w:cs="宋体"/>
          <w:color w:val="auto"/>
          <w:szCs w:val="21"/>
          <w:highlight w:val="none"/>
          <w:shd w:val="clear" w:color="auto" w:fill="FFFFFF"/>
        </w:rPr>
        <w:t>）,</w:t>
      </w:r>
      <w:r>
        <w:rPr>
          <w:rFonts w:hint="eastAsia" w:ascii="宋体" w:hAnsi="宋体" w:cs="宋体"/>
          <w:color w:val="auto"/>
          <w:szCs w:val="21"/>
          <w:highlight w:val="none"/>
        </w:rPr>
        <w:t>具体详见招标文件采购需求。</w:t>
      </w:r>
    </w:p>
    <w:p w14:paraId="46434F76">
      <w:pPr>
        <w:widowControl/>
        <w:shd w:val="clear" w:color="auto" w:fill="FFFFFF"/>
        <w:spacing w:line="500" w:lineRule="exact"/>
        <w:ind w:firstLine="420"/>
        <w:jc w:val="left"/>
        <w:rPr>
          <w:rFonts w:hAnsi="宋体"/>
          <w:color w:val="auto"/>
          <w:szCs w:val="21"/>
          <w:highlight w:val="none"/>
        </w:rPr>
      </w:pPr>
      <w:r>
        <w:rPr>
          <w:rFonts w:ascii="宋体" w:hAnsi="宋体" w:cs="宋体"/>
          <w:color w:val="auto"/>
          <w:szCs w:val="21"/>
          <w:highlight w:val="none"/>
          <w:shd w:val="clear" w:color="auto" w:fill="FFFFFF"/>
        </w:rPr>
        <w:t>7</w:t>
      </w:r>
      <w:r>
        <w:rPr>
          <w:rFonts w:hint="eastAsia" w:ascii="宋体" w:hAnsi="宋体" w:cs="宋体"/>
          <w:color w:val="auto"/>
          <w:szCs w:val="21"/>
          <w:highlight w:val="none"/>
          <w:shd w:val="clear" w:color="auto" w:fill="FFFFFF"/>
        </w:rPr>
        <w:t>、合同履行期间：规划编制服务期1年，后续服务期</w:t>
      </w:r>
      <w:r>
        <w:rPr>
          <w:rFonts w:hint="eastAsia" w:ascii="宋体" w:hAnsi="宋体" w:cs="宋体"/>
          <w:color w:val="auto"/>
          <w:szCs w:val="21"/>
          <w:highlight w:val="none"/>
          <w:shd w:val="clear" w:color="auto" w:fill="FFFFFF"/>
          <w:lang w:val="en-US" w:eastAsia="zh-CN"/>
        </w:rPr>
        <w:t>至2035年</w:t>
      </w:r>
      <w:r>
        <w:rPr>
          <w:rFonts w:hint="eastAsia" w:ascii="宋体" w:hAnsi="宋体" w:cs="宋体"/>
          <w:color w:val="auto"/>
          <w:szCs w:val="21"/>
          <w:highlight w:val="none"/>
          <w:shd w:val="clear" w:color="auto" w:fill="FFFFFF"/>
        </w:rPr>
        <w:t>。</w:t>
      </w:r>
    </w:p>
    <w:p w14:paraId="2479618E">
      <w:pPr>
        <w:widowControl/>
        <w:shd w:val="clear" w:color="auto" w:fill="FFFFFF"/>
        <w:spacing w:line="500" w:lineRule="exact"/>
        <w:ind w:firstLine="422"/>
        <w:jc w:val="left"/>
        <w:rPr>
          <w:rFonts w:ascii="宋体" w:hAnsi="宋体" w:cs="宋体"/>
          <w:color w:val="auto"/>
          <w:szCs w:val="21"/>
          <w:highlight w:val="none"/>
        </w:rPr>
      </w:pPr>
      <w:r>
        <w:rPr>
          <w:rFonts w:hint="eastAsia" w:ascii="宋体" w:hAnsi="宋体" w:cs="宋体"/>
          <w:b/>
          <w:bCs/>
          <w:color w:val="auto"/>
          <w:szCs w:val="21"/>
          <w:highlight w:val="none"/>
          <w:shd w:val="clear" w:color="auto" w:fill="FFFFFF"/>
        </w:rPr>
        <w:t>二、申请人的资格要求</w:t>
      </w:r>
    </w:p>
    <w:p w14:paraId="07DD9076">
      <w:pPr>
        <w:widowControl/>
        <w:shd w:val="clear" w:color="auto" w:fill="FFFFFF"/>
        <w:spacing w:line="500" w:lineRule="exact"/>
        <w:ind w:firstLine="420"/>
        <w:jc w:val="left"/>
        <w:rPr>
          <w:rFonts w:ascii="宋体" w:hAnsi="宋体" w:cs="宋体"/>
          <w:color w:val="auto"/>
          <w:szCs w:val="21"/>
          <w:highlight w:val="none"/>
          <w:shd w:val="clear" w:color="auto" w:fill="FFFFFF"/>
        </w:rPr>
      </w:pPr>
      <w:r>
        <w:rPr>
          <w:rFonts w:hint="eastAsia" w:ascii="宋体" w:hAnsi="宋体" w:cs="宋体"/>
          <w:color w:val="auto"/>
          <w:szCs w:val="21"/>
          <w:highlight w:val="none"/>
          <w:shd w:val="clear" w:color="auto" w:fill="FFFFFF"/>
        </w:rPr>
        <w:t>1、满足《中华人民共和国政府采购法》第二十二条规定，投标时提供下列材料；</w:t>
      </w:r>
    </w:p>
    <w:p w14:paraId="3F6BA9FC">
      <w:pPr>
        <w:widowControl/>
        <w:shd w:val="clear" w:color="auto" w:fill="FFFFFF"/>
        <w:spacing w:line="500" w:lineRule="exact"/>
        <w:ind w:firstLine="420"/>
        <w:jc w:val="left"/>
        <w:rPr>
          <w:rFonts w:ascii="宋体" w:hAnsi="宋体" w:cs="宋体"/>
          <w:color w:val="auto"/>
          <w:szCs w:val="21"/>
          <w:highlight w:val="none"/>
          <w:shd w:val="clear" w:color="auto" w:fill="FFFFFF"/>
        </w:rPr>
      </w:pPr>
      <w:r>
        <w:rPr>
          <w:rFonts w:hint="eastAsia" w:ascii="宋体" w:hAnsi="宋体" w:cs="宋体"/>
          <w:color w:val="auto"/>
          <w:szCs w:val="21"/>
          <w:highlight w:val="none"/>
          <w:shd w:val="clear" w:color="auto" w:fill="FFFFFF"/>
        </w:rPr>
        <w:t>（1）法人或者其他组织的营业执照等证明文件</w:t>
      </w:r>
      <w:r>
        <w:rPr>
          <w:rFonts w:hint="eastAsia" w:ascii="宋体" w:hAnsi="宋体" w:eastAsia="宋体" w:cs="宋体"/>
          <w:i w:val="0"/>
          <w:iCs/>
          <w:color w:val="auto"/>
          <w:highlight w:val="none"/>
          <w:u w:val="none"/>
        </w:rPr>
        <w:t>，自然人的身份证明</w:t>
      </w:r>
      <w:r>
        <w:rPr>
          <w:rFonts w:hint="eastAsia" w:ascii="宋体" w:hAnsi="宋体" w:cs="宋体"/>
          <w:color w:val="auto"/>
          <w:szCs w:val="21"/>
          <w:highlight w:val="none"/>
          <w:shd w:val="clear" w:color="auto" w:fill="FFFFFF"/>
        </w:rPr>
        <w:t>；</w:t>
      </w:r>
    </w:p>
    <w:p w14:paraId="27CAF6BE">
      <w:pPr>
        <w:widowControl/>
        <w:shd w:val="clear" w:color="auto" w:fill="FFFFFF"/>
        <w:spacing w:line="500" w:lineRule="exact"/>
        <w:ind w:firstLine="420"/>
        <w:jc w:val="left"/>
        <w:rPr>
          <w:rFonts w:ascii="宋体" w:hAnsi="宋体" w:cs="宋体"/>
          <w:color w:val="auto"/>
          <w:szCs w:val="21"/>
          <w:highlight w:val="none"/>
          <w:shd w:val="clear" w:color="auto" w:fill="FFFFFF"/>
        </w:rPr>
      </w:pPr>
      <w:r>
        <w:rPr>
          <w:rFonts w:hint="eastAsia" w:ascii="宋体" w:hAnsi="宋体" w:cs="宋体"/>
          <w:color w:val="auto"/>
          <w:szCs w:val="21"/>
          <w:highlight w:val="none"/>
          <w:shd w:val="clear" w:color="auto" w:fill="FFFFFF"/>
        </w:rPr>
        <w:t>（2）上一年度的财务报表（包括：利润表、资产负债表、现金流量表，成立不满一年不需提供）；</w:t>
      </w:r>
    </w:p>
    <w:p w14:paraId="65397129">
      <w:pPr>
        <w:widowControl/>
        <w:shd w:val="clear" w:color="auto" w:fill="FFFFFF"/>
        <w:spacing w:line="500" w:lineRule="exact"/>
        <w:ind w:firstLine="420"/>
        <w:jc w:val="left"/>
        <w:rPr>
          <w:rFonts w:ascii="宋体" w:hAnsi="宋体" w:cs="宋体"/>
          <w:color w:val="auto"/>
          <w:szCs w:val="21"/>
          <w:highlight w:val="none"/>
          <w:shd w:val="clear" w:color="auto" w:fill="FFFFFF"/>
        </w:rPr>
      </w:pPr>
      <w:r>
        <w:rPr>
          <w:rFonts w:hint="eastAsia" w:ascii="宋体" w:hAnsi="宋体" w:cs="宋体"/>
          <w:color w:val="auto"/>
          <w:szCs w:val="21"/>
          <w:highlight w:val="none"/>
          <w:shd w:val="clear" w:color="auto" w:fill="FFFFFF"/>
        </w:rPr>
        <w:t>（3）依法缴纳税收和社会保障资金的相关材料（投标时提供投标截止时间前一年内至少一个月依法缴纳税收及缴纳社会保障资金的证明材料。供应商依法享受缓缴、免缴税收、社会保障资金的提供证明材料）；</w:t>
      </w:r>
    </w:p>
    <w:p w14:paraId="7086A329">
      <w:pPr>
        <w:widowControl/>
        <w:shd w:val="clear" w:color="auto" w:fill="FFFFFF"/>
        <w:spacing w:line="500" w:lineRule="exact"/>
        <w:ind w:firstLine="420"/>
        <w:jc w:val="left"/>
        <w:rPr>
          <w:rFonts w:ascii="宋体" w:hAnsi="宋体" w:cs="宋体"/>
          <w:color w:val="auto"/>
          <w:szCs w:val="21"/>
          <w:highlight w:val="none"/>
          <w:shd w:val="clear" w:color="auto" w:fill="FFFFFF"/>
        </w:rPr>
      </w:pPr>
      <w:r>
        <w:rPr>
          <w:rFonts w:hint="eastAsia" w:ascii="宋体" w:hAnsi="宋体" w:cs="宋体"/>
          <w:color w:val="auto"/>
          <w:szCs w:val="21"/>
          <w:highlight w:val="none"/>
          <w:shd w:val="clear" w:color="auto" w:fill="FFFFFF"/>
        </w:rPr>
        <w:t>（4）具备履行合同所必需的设备和专业技术能力的书面声明；</w:t>
      </w:r>
    </w:p>
    <w:p w14:paraId="50B20B47">
      <w:pPr>
        <w:widowControl/>
        <w:shd w:val="clear" w:color="auto" w:fill="FFFFFF"/>
        <w:spacing w:line="500" w:lineRule="exact"/>
        <w:ind w:firstLine="420"/>
        <w:jc w:val="left"/>
        <w:rPr>
          <w:rFonts w:ascii="宋体" w:hAnsi="宋体" w:cs="宋体"/>
          <w:color w:val="auto"/>
          <w:szCs w:val="21"/>
          <w:highlight w:val="none"/>
        </w:rPr>
      </w:pPr>
      <w:r>
        <w:rPr>
          <w:rFonts w:hint="eastAsia" w:ascii="宋体" w:hAnsi="宋体" w:cs="宋体"/>
          <w:color w:val="auto"/>
          <w:szCs w:val="21"/>
          <w:highlight w:val="none"/>
          <w:shd w:val="clear" w:color="auto" w:fill="FFFFFF"/>
        </w:rPr>
        <w:t>（5）参加政府采购活动前3年内在经营活动中没有重大违法记录的书面声明；</w:t>
      </w:r>
    </w:p>
    <w:p w14:paraId="43062EFB">
      <w:pPr>
        <w:widowControl/>
        <w:shd w:val="clear" w:color="auto" w:fill="FFFFFF"/>
        <w:spacing w:line="500" w:lineRule="exact"/>
        <w:ind w:firstLine="420"/>
        <w:jc w:val="left"/>
        <w:rPr>
          <w:rFonts w:ascii="宋体" w:hAnsi="宋体" w:cs="宋体"/>
          <w:color w:val="auto"/>
          <w:szCs w:val="21"/>
          <w:highlight w:val="none"/>
          <w:shd w:val="clear" w:color="auto" w:fill="FFFFFF"/>
        </w:rPr>
      </w:pPr>
      <w:r>
        <w:rPr>
          <w:rFonts w:hint="eastAsia" w:ascii="宋体" w:hAnsi="宋体" w:cs="宋体"/>
          <w:color w:val="auto"/>
          <w:szCs w:val="21"/>
          <w:highlight w:val="none"/>
          <w:shd w:val="clear" w:color="auto" w:fill="FFFFFF"/>
        </w:rPr>
        <w:t>（6）法律、行政法规规定的其他条件。</w:t>
      </w:r>
    </w:p>
    <w:p w14:paraId="2373821F">
      <w:pPr>
        <w:widowControl/>
        <w:shd w:val="clear" w:color="auto" w:fill="FFFFFF"/>
        <w:spacing w:line="500" w:lineRule="exact"/>
        <w:ind w:firstLine="420"/>
        <w:jc w:val="left"/>
        <w:rPr>
          <w:rFonts w:ascii="宋体" w:hAnsi="宋体" w:cs="宋体"/>
          <w:color w:val="auto"/>
          <w:szCs w:val="21"/>
          <w:highlight w:val="none"/>
          <w:shd w:val="clear" w:color="auto" w:fill="FFFFFF"/>
        </w:rPr>
      </w:pPr>
      <w:r>
        <w:rPr>
          <w:rFonts w:hint="eastAsia" w:ascii="宋体" w:hAnsi="宋体" w:cs="宋体"/>
          <w:color w:val="auto"/>
          <w:szCs w:val="21"/>
          <w:highlight w:val="none"/>
          <w:shd w:val="clear" w:color="auto" w:fill="FFFFFF"/>
        </w:rPr>
        <w:t>（7）在“信用中国”网站查询，无被列入失信被执行人、重大税收违法案件当事人名单、政府采购严重失信行为记录名单及其他不符合《中华人民共和国政府采购法》第二十二条规定条件的信用记录。（投标文件中无需提供证明材料）</w:t>
      </w:r>
    </w:p>
    <w:p w14:paraId="5AEDD9FB">
      <w:pPr>
        <w:widowControl/>
        <w:shd w:val="clear" w:color="auto" w:fill="FFFFFF"/>
        <w:spacing w:line="500" w:lineRule="exact"/>
        <w:ind w:firstLine="420"/>
        <w:jc w:val="left"/>
        <w:rPr>
          <w:rFonts w:ascii="宋体" w:hAnsi="宋体" w:cs="宋体"/>
          <w:color w:val="auto"/>
          <w:szCs w:val="21"/>
          <w:highlight w:val="none"/>
          <w:shd w:val="clear" w:color="auto" w:fill="FFFFFF"/>
        </w:rPr>
      </w:pPr>
      <w:r>
        <w:rPr>
          <w:rFonts w:hint="eastAsia" w:ascii="宋体" w:hAnsi="宋体" w:cs="宋体"/>
          <w:color w:val="auto"/>
          <w:szCs w:val="21"/>
          <w:highlight w:val="none"/>
          <w:shd w:val="clear" w:color="auto" w:fill="FFFFFF"/>
        </w:rPr>
        <w:t>（8）招标文件中规定要求提供的证明材料和投标人认为需要提供的其他材料。</w:t>
      </w:r>
    </w:p>
    <w:p w14:paraId="1F0EE7CE">
      <w:pPr>
        <w:widowControl/>
        <w:shd w:val="clear" w:color="auto" w:fill="FFFFFF"/>
        <w:spacing w:line="500" w:lineRule="exact"/>
        <w:ind w:firstLine="420"/>
        <w:jc w:val="left"/>
        <w:rPr>
          <w:rFonts w:ascii="宋体" w:hAnsi="宋体" w:cs="宋体"/>
          <w:color w:val="auto"/>
          <w:szCs w:val="21"/>
          <w:highlight w:val="none"/>
          <w:shd w:val="clear" w:color="auto" w:fill="FFFFFF"/>
        </w:rPr>
      </w:pPr>
      <w:r>
        <w:rPr>
          <w:rFonts w:hint="eastAsia" w:ascii="宋体" w:hAnsi="宋体" w:cs="宋体"/>
          <w:color w:val="auto"/>
          <w:szCs w:val="21"/>
          <w:highlight w:val="none"/>
          <w:shd w:val="clear" w:color="auto" w:fill="FFFFFF"/>
        </w:rPr>
        <w:t>2、</w:t>
      </w:r>
      <w:r>
        <w:rPr>
          <w:rFonts w:ascii="宋体" w:hAnsi="宋体" w:cs="宋体"/>
          <w:color w:val="auto"/>
          <w:szCs w:val="21"/>
          <w:highlight w:val="none"/>
          <w:shd w:val="clear" w:color="auto" w:fill="FFFFFF"/>
        </w:rPr>
        <w:t>本次招标</w:t>
      </w:r>
      <w:r>
        <w:rPr>
          <w:rFonts w:hint="eastAsia" w:ascii="宋体" w:hAnsi="宋体" w:cs="宋体"/>
          <w:color w:val="auto"/>
          <w:szCs w:val="21"/>
          <w:highlight w:val="none"/>
          <w:shd w:val="clear" w:color="auto" w:fill="FFFFFF"/>
        </w:rPr>
        <w:t>不</w:t>
      </w:r>
      <w:r>
        <w:rPr>
          <w:rFonts w:ascii="宋体" w:hAnsi="宋体" w:cs="宋体"/>
          <w:color w:val="auto"/>
          <w:szCs w:val="21"/>
          <w:highlight w:val="none"/>
          <w:shd w:val="clear" w:color="auto" w:fill="FFFFFF"/>
        </w:rPr>
        <w:t>接受联合体投标；</w:t>
      </w:r>
    </w:p>
    <w:p w14:paraId="5BD233C3">
      <w:pPr>
        <w:widowControl/>
        <w:shd w:val="clear" w:color="auto" w:fill="FFFFFF"/>
        <w:spacing w:line="500" w:lineRule="exact"/>
        <w:ind w:firstLine="422"/>
        <w:jc w:val="left"/>
        <w:rPr>
          <w:rFonts w:ascii="宋体" w:hAnsi="宋体" w:cs="宋体"/>
          <w:b/>
          <w:color w:val="auto"/>
          <w:szCs w:val="21"/>
          <w:highlight w:val="none"/>
          <w:shd w:val="clear" w:color="auto" w:fill="FFFFFF"/>
        </w:rPr>
      </w:pPr>
      <w:r>
        <w:rPr>
          <w:rFonts w:ascii="宋体" w:hAnsi="宋体" w:cs="宋体"/>
          <w:b/>
          <w:color w:val="auto"/>
          <w:szCs w:val="21"/>
          <w:highlight w:val="none"/>
          <w:shd w:val="clear" w:color="auto" w:fill="FFFFFF"/>
        </w:rPr>
        <w:t>3</w:t>
      </w:r>
      <w:r>
        <w:rPr>
          <w:rFonts w:hint="eastAsia" w:ascii="宋体" w:hAnsi="宋体" w:cs="宋体"/>
          <w:b/>
          <w:color w:val="auto"/>
          <w:szCs w:val="21"/>
          <w:highlight w:val="none"/>
          <w:shd w:val="clear" w:color="auto" w:fill="FFFFFF"/>
        </w:rPr>
        <w:t>、</w:t>
      </w:r>
      <w:r>
        <w:rPr>
          <w:rFonts w:hint="eastAsia" w:ascii="宋体" w:hAnsi="宋体" w:cs="宋体"/>
          <w:color w:val="auto"/>
          <w:kern w:val="2"/>
          <w:highlight w:val="none"/>
        </w:rPr>
        <w:t xml:space="preserve">落实政府采购政策需满足的资格要求：无 </w:t>
      </w:r>
      <w:r>
        <w:rPr>
          <w:rFonts w:hint="eastAsia" w:ascii="宋体" w:hAnsi="宋体" w:cs="宋体"/>
          <w:b/>
          <w:color w:val="auto"/>
          <w:szCs w:val="21"/>
          <w:highlight w:val="none"/>
          <w:shd w:val="clear" w:color="auto" w:fill="FFFFFF"/>
        </w:rPr>
        <w:t>。</w:t>
      </w:r>
    </w:p>
    <w:p w14:paraId="5AFB736C">
      <w:pPr>
        <w:widowControl/>
        <w:shd w:val="clear" w:color="auto" w:fill="FFFFFF"/>
        <w:spacing w:line="500" w:lineRule="exact"/>
        <w:ind w:firstLine="420"/>
        <w:jc w:val="left"/>
        <w:rPr>
          <w:rFonts w:ascii="宋体" w:hAnsi="宋体" w:cs="宋体"/>
          <w:color w:val="auto"/>
          <w:szCs w:val="21"/>
          <w:highlight w:val="none"/>
          <w:shd w:val="clear" w:color="auto" w:fill="FFFFFF"/>
        </w:rPr>
      </w:pPr>
      <w:r>
        <w:rPr>
          <w:rFonts w:hint="eastAsia" w:ascii="宋体" w:hAnsi="宋体" w:cs="宋体"/>
          <w:color w:val="auto"/>
          <w:szCs w:val="21"/>
          <w:highlight w:val="none"/>
          <w:shd w:val="clear" w:color="auto" w:fill="FFFFFF"/>
        </w:rPr>
        <w:t>4、本项目的特定资格要求：</w:t>
      </w:r>
    </w:p>
    <w:p w14:paraId="2C9156AA">
      <w:pPr>
        <w:widowControl/>
        <w:shd w:val="clear" w:color="auto" w:fill="FFFFFF"/>
        <w:spacing w:line="500" w:lineRule="exact"/>
        <w:ind w:firstLine="422"/>
        <w:jc w:val="left"/>
        <w:rPr>
          <w:rFonts w:hint="eastAsia" w:ascii="宋体" w:hAnsi="宋体" w:cs="宋体"/>
          <w:color w:val="auto"/>
          <w:kern w:val="2"/>
          <w:highlight w:val="none"/>
        </w:rPr>
      </w:pPr>
      <w:r>
        <w:rPr>
          <w:rFonts w:hint="eastAsia" w:ascii="宋体" w:hAnsi="宋体" w:cs="宋体"/>
          <w:color w:val="auto"/>
          <w:kern w:val="2"/>
          <w:highlight w:val="none"/>
        </w:rPr>
        <w:t>4.1投标人具有工程咨询单位甲级资信证书，并应通过全国投资项目在线审批监管平台备案（工程咨询备案专业至少有公路、水运，工程咨询服务范围包含规划咨询，备案信息已经由国家发改委通过在线平台向社会公布）。</w:t>
      </w:r>
    </w:p>
    <w:p w14:paraId="6BCF3F5C">
      <w:pPr>
        <w:widowControl/>
        <w:shd w:val="clear" w:color="auto" w:fill="FFFFFF"/>
        <w:spacing w:line="500" w:lineRule="exact"/>
        <w:ind w:firstLine="422"/>
        <w:jc w:val="left"/>
        <w:rPr>
          <w:rFonts w:ascii="宋体" w:hAnsi="宋体" w:cs="宋体"/>
          <w:color w:val="auto"/>
          <w:szCs w:val="21"/>
          <w:highlight w:val="none"/>
          <w:shd w:val="clear" w:color="auto" w:fill="FFFFFF"/>
        </w:rPr>
      </w:pPr>
      <w:r>
        <w:rPr>
          <w:rFonts w:hint="eastAsia" w:ascii="宋体" w:hAnsi="宋体" w:cs="宋体"/>
          <w:color w:val="auto"/>
          <w:kern w:val="2"/>
          <w:highlight w:val="none"/>
        </w:rPr>
        <w:t>4.2项目负责人具有高级工程师及以上职称。</w:t>
      </w:r>
    </w:p>
    <w:p w14:paraId="5349A989">
      <w:pPr>
        <w:widowControl/>
        <w:shd w:val="clear" w:color="auto" w:fill="FFFFFF"/>
        <w:spacing w:line="500" w:lineRule="exact"/>
        <w:ind w:firstLine="422"/>
        <w:jc w:val="left"/>
        <w:rPr>
          <w:rFonts w:ascii="宋体" w:hAnsi="宋体" w:cs="宋体"/>
          <w:color w:val="auto"/>
          <w:szCs w:val="21"/>
          <w:highlight w:val="none"/>
        </w:rPr>
      </w:pPr>
      <w:r>
        <w:rPr>
          <w:rFonts w:hint="eastAsia" w:ascii="宋体" w:hAnsi="宋体" w:cs="宋体"/>
          <w:b/>
          <w:bCs/>
          <w:color w:val="auto"/>
          <w:szCs w:val="21"/>
          <w:highlight w:val="none"/>
          <w:shd w:val="clear" w:color="auto" w:fill="FFFFFF"/>
        </w:rPr>
        <w:t>三、获取招标文件</w:t>
      </w:r>
    </w:p>
    <w:p w14:paraId="15E7C93E">
      <w:pPr>
        <w:widowControl/>
        <w:shd w:val="clear" w:color="auto" w:fill="FFFFFF"/>
        <w:spacing w:line="500" w:lineRule="exact"/>
        <w:ind w:firstLine="420"/>
        <w:jc w:val="left"/>
        <w:rPr>
          <w:rFonts w:ascii="宋体" w:hAnsi="宋体" w:cs="宋体"/>
          <w:color w:val="auto"/>
          <w:szCs w:val="21"/>
          <w:highlight w:val="none"/>
          <w:shd w:val="clear" w:color="auto" w:fill="FFFFFF"/>
        </w:rPr>
      </w:pPr>
      <w:r>
        <w:rPr>
          <w:rFonts w:hint="eastAsia" w:ascii="宋体" w:hAnsi="宋体" w:cs="宋体"/>
          <w:color w:val="auto"/>
          <w:szCs w:val="21"/>
          <w:highlight w:val="none"/>
          <w:shd w:val="clear" w:color="auto" w:fill="FFFFFF"/>
        </w:rPr>
        <w:t>1、招标文件获取截止时间：202</w:t>
      </w:r>
      <w:r>
        <w:rPr>
          <w:rFonts w:ascii="宋体" w:hAnsi="宋体" w:cs="宋体"/>
          <w:color w:val="auto"/>
          <w:szCs w:val="21"/>
          <w:highlight w:val="none"/>
          <w:shd w:val="clear" w:color="auto" w:fill="FFFFFF"/>
        </w:rPr>
        <w:t>5</w:t>
      </w:r>
      <w:r>
        <w:rPr>
          <w:rFonts w:hint="eastAsia" w:ascii="宋体" w:hAnsi="宋体" w:cs="宋体"/>
          <w:color w:val="auto"/>
          <w:szCs w:val="21"/>
          <w:highlight w:val="none"/>
          <w:shd w:val="clear" w:color="auto" w:fill="FFFFFF"/>
        </w:rPr>
        <w:t>年</w:t>
      </w:r>
      <w:r>
        <w:rPr>
          <w:rFonts w:hint="eastAsia" w:ascii="宋体" w:hAnsi="宋体" w:cs="宋体"/>
          <w:color w:val="auto"/>
          <w:szCs w:val="21"/>
          <w:highlight w:val="none"/>
          <w:u w:val="single"/>
          <w:shd w:val="clear" w:color="auto" w:fill="FFFFFF"/>
        </w:rPr>
        <w:t xml:space="preserve"> </w:t>
      </w:r>
      <w:r>
        <w:rPr>
          <w:rFonts w:hint="eastAsia" w:ascii="宋体" w:hAnsi="宋体" w:cs="宋体"/>
          <w:color w:val="auto"/>
          <w:szCs w:val="21"/>
          <w:highlight w:val="none"/>
          <w:u w:val="single"/>
          <w:shd w:val="clear" w:color="auto" w:fill="FFFFFF"/>
          <w:lang w:val="en-US" w:eastAsia="zh-CN"/>
        </w:rPr>
        <w:t>11</w:t>
      </w:r>
      <w:r>
        <w:rPr>
          <w:rFonts w:hint="eastAsia" w:ascii="宋体" w:hAnsi="宋体" w:cs="宋体"/>
          <w:color w:val="auto"/>
          <w:szCs w:val="21"/>
          <w:highlight w:val="none"/>
          <w:shd w:val="clear" w:color="auto" w:fill="FFFFFF"/>
        </w:rPr>
        <w:t>月</w:t>
      </w:r>
      <w:r>
        <w:rPr>
          <w:rFonts w:hint="eastAsia" w:ascii="宋体" w:hAnsi="宋体" w:cs="宋体"/>
          <w:color w:val="auto"/>
          <w:szCs w:val="21"/>
          <w:highlight w:val="none"/>
          <w:u w:val="single"/>
          <w:shd w:val="clear" w:color="auto" w:fill="FFFFFF"/>
        </w:rPr>
        <w:t xml:space="preserve"> </w:t>
      </w:r>
      <w:r>
        <w:rPr>
          <w:rFonts w:hint="eastAsia" w:ascii="宋体" w:hAnsi="宋体" w:cs="宋体"/>
          <w:color w:val="auto"/>
          <w:szCs w:val="21"/>
          <w:highlight w:val="none"/>
          <w:u w:val="single"/>
          <w:shd w:val="clear" w:color="auto" w:fill="FFFFFF"/>
          <w:lang w:val="en-US" w:eastAsia="zh-CN"/>
        </w:rPr>
        <w:t>18</w:t>
      </w:r>
      <w:r>
        <w:rPr>
          <w:rFonts w:hint="eastAsia" w:ascii="宋体" w:hAnsi="宋体" w:cs="宋体"/>
          <w:color w:val="auto"/>
          <w:szCs w:val="21"/>
          <w:highlight w:val="none"/>
          <w:u w:val="single"/>
          <w:shd w:val="clear" w:color="auto" w:fill="FFFFFF"/>
        </w:rPr>
        <w:t xml:space="preserve"> </w:t>
      </w:r>
      <w:r>
        <w:rPr>
          <w:rFonts w:hint="eastAsia" w:ascii="宋体" w:hAnsi="宋体" w:cs="宋体"/>
          <w:color w:val="auto"/>
          <w:szCs w:val="21"/>
          <w:highlight w:val="none"/>
          <w:shd w:val="clear" w:color="auto" w:fill="FFFFFF"/>
        </w:rPr>
        <w:t>日（北京时间）。</w:t>
      </w:r>
    </w:p>
    <w:p w14:paraId="194C0684">
      <w:pPr>
        <w:widowControl/>
        <w:shd w:val="clear" w:color="auto" w:fill="FFFFFF"/>
        <w:spacing w:line="500" w:lineRule="exact"/>
        <w:ind w:firstLine="420"/>
        <w:jc w:val="left"/>
        <w:rPr>
          <w:rFonts w:ascii="宋体" w:hAnsi="宋体" w:cs="宋体"/>
          <w:color w:val="auto"/>
          <w:szCs w:val="21"/>
          <w:highlight w:val="none"/>
          <w:shd w:val="clear" w:color="auto" w:fill="FFFFFF"/>
        </w:rPr>
      </w:pPr>
      <w:r>
        <w:rPr>
          <w:rFonts w:hint="eastAsia" w:ascii="宋体" w:hAnsi="宋体" w:cs="宋体"/>
          <w:color w:val="auto"/>
          <w:szCs w:val="21"/>
          <w:highlight w:val="none"/>
          <w:shd w:val="clear" w:color="auto" w:fill="FFFFFF"/>
        </w:rPr>
        <w:t>2、地点：“苏采云”系统，网址：http://jszfcg.jsczt.cn/（投标人必须在苏采云系统中获取采购文件，方能参与政府采购项目）。</w:t>
      </w:r>
    </w:p>
    <w:p w14:paraId="5FE3FD42">
      <w:pPr>
        <w:widowControl/>
        <w:shd w:val="clear" w:color="auto" w:fill="FFFFFF"/>
        <w:spacing w:line="500" w:lineRule="exact"/>
        <w:ind w:firstLine="420"/>
        <w:jc w:val="left"/>
        <w:rPr>
          <w:rFonts w:ascii="宋体" w:hAnsi="宋体" w:cs="宋体"/>
          <w:color w:val="auto"/>
          <w:szCs w:val="21"/>
          <w:highlight w:val="none"/>
          <w:shd w:val="clear" w:color="auto" w:fill="FFFFFF"/>
        </w:rPr>
      </w:pPr>
      <w:r>
        <w:rPr>
          <w:rFonts w:hint="eastAsia" w:ascii="宋体" w:hAnsi="宋体" w:cs="宋体"/>
          <w:color w:val="auto"/>
          <w:szCs w:val="21"/>
          <w:highlight w:val="none"/>
          <w:shd w:val="clear" w:color="auto" w:fill="FFFFFF"/>
        </w:rPr>
        <w:t>3、获取方式：网上注册登记成功后系统内免费下载。</w:t>
      </w:r>
    </w:p>
    <w:p w14:paraId="49B52D79">
      <w:pPr>
        <w:widowControl/>
        <w:shd w:val="clear" w:color="auto" w:fill="FFFFFF"/>
        <w:spacing w:line="500" w:lineRule="exact"/>
        <w:ind w:firstLine="420"/>
        <w:jc w:val="left"/>
        <w:rPr>
          <w:rFonts w:ascii="宋体" w:hAnsi="宋体" w:cs="宋体"/>
          <w:color w:val="auto"/>
          <w:szCs w:val="21"/>
          <w:highlight w:val="none"/>
          <w:shd w:val="clear" w:color="auto" w:fill="FFFFFF"/>
        </w:rPr>
      </w:pPr>
      <w:r>
        <w:rPr>
          <w:rFonts w:hint="eastAsia" w:ascii="宋体" w:hAnsi="宋体" w:cs="宋体"/>
          <w:color w:val="auto"/>
          <w:szCs w:val="21"/>
          <w:highlight w:val="none"/>
          <w:shd w:val="clear" w:color="auto" w:fill="FFFFFF"/>
        </w:rPr>
        <w:t>4、文件售价：免费。</w:t>
      </w:r>
    </w:p>
    <w:p w14:paraId="08150139">
      <w:pPr>
        <w:widowControl/>
        <w:shd w:val="clear" w:color="auto" w:fill="FFFFFF"/>
        <w:spacing w:line="500" w:lineRule="exact"/>
        <w:ind w:firstLine="420"/>
        <w:jc w:val="left"/>
        <w:rPr>
          <w:rFonts w:ascii="宋体" w:hAnsi="宋体" w:cs="宋体"/>
          <w:color w:val="auto"/>
          <w:szCs w:val="21"/>
          <w:highlight w:val="none"/>
          <w:shd w:val="clear" w:color="auto" w:fill="FFFFFF"/>
        </w:rPr>
      </w:pPr>
      <w:r>
        <w:rPr>
          <w:rFonts w:hint="eastAsia" w:ascii="宋体" w:hAnsi="宋体" w:cs="宋体"/>
          <w:color w:val="auto"/>
          <w:szCs w:val="21"/>
          <w:highlight w:val="none"/>
          <w:shd w:val="clear" w:color="auto" w:fill="FFFFFF"/>
        </w:rPr>
        <w:t>5、注意事项：</w:t>
      </w:r>
    </w:p>
    <w:p w14:paraId="08DADABC">
      <w:pPr>
        <w:widowControl/>
        <w:shd w:val="clear" w:color="auto" w:fill="FFFFFF"/>
        <w:spacing w:line="500" w:lineRule="exact"/>
        <w:ind w:firstLine="420"/>
        <w:jc w:val="left"/>
        <w:rPr>
          <w:rFonts w:ascii="宋体" w:hAnsi="宋体" w:cs="宋体"/>
          <w:color w:val="auto"/>
          <w:szCs w:val="21"/>
          <w:highlight w:val="none"/>
          <w:shd w:val="clear" w:color="auto" w:fill="FFFFFF"/>
        </w:rPr>
      </w:pPr>
      <w:r>
        <w:rPr>
          <w:rFonts w:hint="eastAsia" w:ascii="宋体" w:hAnsi="宋体" w:cs="宋体"/>
          <w:color w:val="auto"/>
          <w:szCs w:val="21"/>
          <w:highlight w:val="none"/>
          <w:shd w:val="clear" w:color="auto" w:fill="FFFFFF"/>
        </w:rPr>
        <w:t>（1）有关本次招标的事项若存在变动或修改，敬请及时关注江苏政府采购网、盐城市政府采购网发布的更正公告。</w:t>
      </w:r>
    </w:p>
    <w:p w14:paraId="77571F78">
      <w:pPr>
        <w:widowControl/>
        <w:shd w:val="clear" w:color="auto" w:fill="FFFFFF"/>
        <w:spacing w:line="500" w:lineRule="exact"/>
        <w:ind w:firstLine="420"/>
        <w:jc w:val="left"/>
        <w:rPr>
          <w:rFonts w:ascii="宋体" w:hAnsi="宋体" w:cs="宋体"/>
          <w:color w:val="auto"/>
          <w:szCs w:val="21"/>
          <w:highlight w:val="none"/>
          <w:shd w:val="clear" w:color="auto" w:fill="FFFFFF"/>
        </w:rPr>
      </w:pPr>
      <w:r>
        <w:rPr>
          <w:rFonts w:hint="eastAsia" w:ascii="宋体" w:hAnsi="宋体" w:cs="宋体"/>
          <w:color w:val="auto"/>
          <w:szCs w:val="21"/>
          <w:highlight w:val="none"/>
          <w:shd w:val="clear" w:color="auto" w:fill="FFFFFF"/>
        </w:rPr>
        <w:t>（2）本项目采取“全流程电子化不见面”开标模式，开标当日无需投标人授权代表到达开标现场。</w:t>
      </w:r>
    </w:p>
    <w:p w14:paraId="2C226000">
      <w:pPr>
        <w:widowControl/>
        <w:shd w:val="clear" w:color="auto" w:fill="FFFFFF"/>
        <w:spacing w:line="500" w:lineRule="exact"/>
        <w:ind w:firstLine="420"/>
        <w:jc w:val="left"/>
        <w:rPr>
          <w:rFonts w:ascii="宋体" w:hAnsi="宋体" w:cs="宋体"/>
          <w:color w:val="auto"/>
          <w:szCs w:val="21"/>
          <w:highlight w:val="none"/>
          <w:shd w:val="clear" w:color="auto" w:fill="FFFFFF"/>
        </w:rPr>
      </w:pPr>
      <w:r>
        <w:rPr>
          <w:rFonts w:hint="eastAsia" w:ascii="宋体" w:hAnsi="宋体" w:cs="宋体"/>
          <w:color w:val="auto"/>
          <w:szCs w:val="21"/>
          <w:highlight w:val="none"/>
          <w:shd w:val="clear" w:color="auto" w:fill="FFFFFF"/>
        </w:rPr>
        <w:t>各投标人须在开标前使用“验证CA”功能验证本地计算机的控件环境是否正常（电脑需配备摄像头、麦克风和音响，用于保障不见面交易能够完成相关视频对话、演示等），并且在开评标过程中不可随意更换电脑，必须使用验证成功的电脑进行操作，否则造成相应后果由投标人自行承担。</w:t>
      </w:r>
    </w:p>
    <w:p w14:paraId="4272B106">
      <w:pPr>
        <w:widowControl/>
        <w:shd w:val="clear" w:color="auto" w:fill="FFFFFF"/>
        <w:spacing w:line="500" w:lineRule="exact"/>
        <w:ind w:firstLine="420"/>
        <w:jc w:val="left"/>
        <w:rPr>
          <w:rFonts w:ascii="宋体" w:hAnsi="宋体" w:cs="宋体"/>
          <w:color w:val="auto"/>
          <w:szCs w:val="21"/>
          <w:highlight w:val="none"/>
          <w:shd w:val="clear" w:color="auto" w:fill="FFFFFF"/>
        </w:rPr>
      </w:pPr>
      <w:r>
        <w:rPr>
          <w:rFonts w:hint="eastAsia" w:ascii="宋体" w:hAnsi="宋体" w:cs="宋体"/>
          <w:color w:val="auto"/>
          <w:szCs w:val="21"/>
          <w:highlight w:val="none"/>
          <w:shd w:val="clear" w:color="auto" w:fill="FFFFFF"/>
        </w:rPr>
        <w:t>如潜在投标人未按上述要求操作，将自行承担所产生的风险。</w:t>
      </w:r>
    </w:p>
    <w:p w14:paraId="6C4D19C3">
      <w:pPr>
        <w:widowControl/>
        <w:shd w:val="clear" w:color="auto" w:fill="FFFFFF"/>
        <w:spacing w:line="500" w:lineRule="exact"/>
        <w:ind w:firstLine="422"/>
        <w:jc w:val="left"/>
        <w:rPr>
          <w:rFonts w:ascii="宋体" w:hAnsi="宋体" w:cs="宋体"/>
          <w:color w:val="auto"/>
          <w:szCs w:val="21"/>
          <w:highlight w:val="none"/>
        </w:rPr>
      </w:pPr>
      <w:r>
        <w:rPr>
          <w:rFonts w:hint="eastAsia" w:ascii="宋体" w:hAnsi="宋体" w:cs="宋体"/>
          <w:b/>
          <w:bCs/>
          <w:color w:val="auto"/>
          <w:szCs w:val="21"/>
          <w:highlight w:val="none"/>
          <w:shd w:val="clear" w:color="auto" w:fill="FFFFFF"/>
        </w:rPr>
        <w:t>四、提交投标文件截止时间、开标时间和地点</w:t>
      </w:r>
    </w:p>
    <w:p w14:paraId="2472D31B">
      <w:pPr>
        <w:shd w:val="clear" w:color="auto" w:fill="FFFFFF"/>
        <w:spacing w:line="500" w:lineRule="exact"/>
        <w:ind w:firstLine="420"/>
        <w:jc w:val="left"/>
        <w:rPr>
          <w:rFonts w:ascii="宋体" w:hAnsi="宋体" w:cs="宋体"/>
          <w:color w:val="auto"/>
          <w:szCs w:val="21"/>
          <w:highlight w:val="none"/>
          <w:shd w:val="clear" w:color="auto" w:fill="FFFFFF"/>
        </w:rPr>
      </w:pPr>
      <w:r>
        <w:rPr>
          <w:rFonts w:hint="eastAsia" w:ascii="宋体" w:hAnsi="宋体" w:cs="宋体"/>
          <w:color w:val="auto"/>
          <w:szCs w:val="21"/>
          <w:highlight w:val="none"/>
          <w:shd w:val="clear" w:color="auto" w:fill="FFFFFF"/>
        </w:rPr>
        <w:t>1、线上提交投标文件截止时间：202</w:t>
      </w:r>
      <w:r>
        <w:rPr>
          <w:rFonts w:ascii="宋体" w:hAnsi="宋体" w:cs="宋体"/>
          <w:color w:val="auto"/>
          <w:szCs w:val="21"/>
          <w:highlight w:val="none"/>
          <w:shd w:val="clear" w:color="auto" w:fill="FFFFFF"/>
        </w:rPr>
        <w:t>5</w:t>
      </w:r>
      <w:r>
        <w:rPr>
          <w:rFonts w:hint="eastAsia" w:ascii="宋体" w:hAnsi="宋体" w:cs="宋体"/>
          <w:color w:val="auto"/>
          <w:szCs w:val="21"/>
          <w:highlight w:val="none"/>
          <w:shd w:val="clear" w:color="auto" w:fill="FFFFFF"/>
        </w:rPr>
        <w:t>年</w:t>
      </w:r>
      <w:r>
        <w:rPr>
          <w:rFonts w:hint="eastAsia" w:ascii="宋体" w:hAnsi="宋体" w:cs="宋体"/>
          <w:color w:val="auto"/>
          <w:szCs w:val="21"/>
          <w:highlight w:val="none"/>
          <w:u w:val="single"/>
          <w:shd w:val="clear" w:color="auto" w:fill="FFFFFF"/>
          <w:lang w:val="en-US" w:eastAsia="zh-CN"/>
        </w:rPr>
        <w:t>12</w:t>
      </w:r>
      <w:r>
        <w:rPr>
          <w:rFonts w:hint="eastAsia" w:ascii="宋体" w:hAnsi="宋体" w:cs="宋体"/>
          <w:color w:val="auto"/>
          <w:szCs w:val="21"/>
          <w:highlight w:val="none"/>
          <w:shd w:val="clear" w:color="auto" w:fill="FFFFFF"/>
        </w:rPr>
        <w:t>月</w:t>
      </w:r>
      <w:r>
        <w:rPr>
          <w:rFonts w:hint="eastAsia" w:ascii="宋体" w:hAnsi="宋体" w:cs="宋体"/>
          <w:color w:val="auto"/>
          <w:szCs w:val="21"/>
          <w:highlight w:val="none"/>
          <w:u w:val="single"/>
          <w:shd w:val="clear" w:color="auto" w:fill="FFFFFF"/>
        </w:rPr>
        <w:t xml:space="preserve"> </w:t>
      </w:r>
      <w:r>
        <w:rPr>
          <w:rFonts w:hint="eastAsia" w:ascii="宋体" w:hAnsi="宋体" w:cs="宋体"/>
          <w:color w:val="auto"/>
          <w:szCs w:val="21"/>
          <w:highlight w:val="none"/>
          <w:u w:val="single"/>
          <w:shd w:val="clear" w:color="auto" w:fill="FFFFFF"/>
          <w:lang w:val="en-US" w:eastAsia="zh-CN"/>
        </w:rPr>
        <w:t>2</w:t>
      </w:r>
      <w:r>
        <w:rPr>
          <w:rFonts w:hint="eastAsia" w:ascii="宋体" w:hAnsi="宋体" w:cs="宋体"/>
          <w:color w:val="auto"/>
          <w:szCs w:val="21"/>
          <w:highlight w:val="none"/>
          <w:u w:val="single"/>
          <w:shd w:val="clear" w:color="auto" w:fill="FFFFFF"/>
        </w:rPr>
        <w:t xml:space="preserve"> </w:t>
      </w:r>
      <w:r>
        <w:rPr>
          <w:rFonts w:hint="eastAsia" w:ascii="宋体" w:hAnsi="宋体" w:cs="宋体"/>
          <w:color w:val="auto"/>
          <w:szCs w:val="21"/>
          <w:highlight w:val="none"/>
          <w:shd w:val="clear" w:color="auto" w:fill="FFFFFF"/>
        </w:rPr>
        <w:t>日</w:t>
      </w:r>
      <w:r>
        <w:rPr>
          <w:rFonts w:hint="eastAsia" w:ascii="宋体" w:hAnsi="宋体" w:cs="宋体"/>
          <w:color w:val="auto"/>
          <w:szCs w:val="21"/>
          <w:highlight w:val="none"/>
          <w:shd w:val="clear" w:color="auto" w:fill="FFFFFF"/>
          <w:lang w:val="en-US" w:eastAsia="zh-CN"/>
        </w:rPr>
        <w:t>9</w:t>
      </w:r>
      <w:r>
        <w:rPr>
          <w:rFonts w:hint="eastAsia" w:ascii="宋体" w:hAnsi="宋体" w:cs="宋体"/>
          <w:color w:val="auto"/>
          <w:szCs w:val="21"/>
          <w:highlight w:val="none"/>
          <w:shd w:val="clear" w:color="auto" w:fill="FFFFFF"/>
        </w:rPr>
        <w:t>时</w:t>
      </w:r>
      <w:r>
        <w:rPr>
          <w:rFonts w:hint="eastAsia" w:ascii="宋体" w:hAnsi="宋体" w:cs="宋体"/>
          <w:color w:val="auto"/>
          <w:szCs w:val="21"/>
          <w:highlight w:val="none"/>
          <w:shd w:val="clear" w:color="auto" w:fill="FFFFFF"/>
          <w:lang w:val="en-US" w:eastAsia="zh-CN"/>
        </w:rPr>
        <w:t>3</w:t>
      </w:r>
      <w:r>
        <w:rPr>
          <w:rFonts w:hint="eastAsia" w:ascii="宋体" w:hAnsi="宋体" w:cs="宋体"/>
          <w:color w:val="auto"/>
          <w:szCs w:val="21"/>
          <w:highlight w:val="none"/>
          <w:shd w:val="clear" w:color="auto" w:fill="FFFFFF"/>
        </w:rPr>
        <w:t>0分</w:t>
      </w:r>
    </w:p>
    <w:p w14:paraId="789BC59E">
      <w:pPr>
        <w:shd w:val="clear" w:color="auto" w:fill="FFFFFF"/>
        <w:spacing w:line="500" w:lineRule="exact"/>
        <w:ind w:firstLine="420"/>
        <w:jc w:val="left"/>
        <w:rPr>
          <w:rFonts w:ascii="宋体" w:hAnsi="宋体" w:cs="宋体"/>
          <w:color w:val="auto"/>
          <w:szCs w:val="21"/>
          <w:highlight w:val="none"/>
          <w:shd w:val="clear" w:color="auto" w:fill="FFFFFF"/>
        </w:rPr>
      </w:pPr>
      <w:r>
        <w:rPr>
          <w:rFonts w:hint="eastAsia" w:ascii="宋体" w:hAnsi="宋体" w:cs="宋体"/>
          <w:color w:val="auto"/>
          <w:szCs w:val="21"/>
          <w:highlight w:val="none"/>
          <w:shd w:val="clear" w:color="auto" w:fill="FFFFFF"/>
        </w:rPr>
        <w:t>2、线上开标时间：202</w:t>
      </w:r>
      <w:r>
        <w:rPr>
          <w:rFonts w:ascii="宋体" w:hAnsi="宋体" w:cs="宋体"/>
          <w:color w:val="auto"/>
          <w:szCs w:val="21"/>
          <w:highlight w:val="none"/>
          <w:shd w:val="clear" w:color="auto" w:fill="FFFFFF"/>
        </w:rPr>
        <w:t>5</w:t>
      </w:r>
      <w:r>
        <w:rPr>
          <w:rFonts w:hint="eastAsia" w:ascii="宋体" w:hAnsi="宋体" w:cs="宋体"/>
          <w:color w:val="auto"/>
          <w:szCs w:val="21"/>
          <w:highlight w:val="none"/>
          <w:shd w:val="clear" w:color="auto" w:fill="FFFFFF"/>
        </w:rPr>
        <w:t>年</w:t>
      </w:r>
      <w:r>
        <w:rPr>
          <w:rFonts w:hint="eastAsia" w:ascii="宋体" w:hAnsi="宋体" w:cs="宋体"/>
          <w:color w:val="auto"/>
          <w:szCs w:val="21"/>
          <w:highlight w:val="none"/>
          <w:u w:val="single"/>
          <w:shd w:val="clear" w:color="auto" w:fill="FFFFFF"/>
          <w:lang w:val="en-US" w:eastAsia="zh-CN"/>
        </w:rPr>
        <w:t>12</w:t>
      </w:r>
      <w:r>
        <w:rPr>
          <w:rFonts w:hint="eastAsia" w:ascii="宋体" w:hAnsi="宋体" w:cs="宋体"/>
          <w:color w:val="auto"/>
          <w:szCs w:val="21"/>
          <w:highlight w:val="none"/>
          <w:shd w:val="clear" w:color="auto" w:fill="FFFFFF"/>
        </w:rPr>
        <w:t>月</w:t>
      </w:r>
      <w:r>
        <w:rPr>
          <w:rFonts w:hint="eastAsia" w:ascii="宋体" w:hAnsi="宋体" w:cs="宋体"/>
          <w:color w:val="auto"/>
          <w:szCs w:val="21"/>
          <w:highlight w:val="none"/>
          <w:u w:val="single"/>
          <w:shd w:val="clear" w:color="auto" w:fill="FFFFFF"/>
        </w:rPr>
        <w:t xml:space="preserve"> </w:t>
      </w:r>
      <w:r>
        <w:rPr>
          <w:rFonts w:hint="eastAsia" w:ascii="宋体" w:hAnsi="宋体" w:cs="宋体"/>
          <w:color w:val="auto"/>
          <w:szCs w:val="21"/>
          <w:highlight w:val="none"/>
          <w:u w:val="single"/>
          <w:shd w:val="clear" w:color="auto" w:fill="FFFFFF"/>
          <w:lang w:val="en-US" w:eastAsia="zh-CN"/>
        </w:rPr>
        <w:t>2</w:t>
      </w:r>
      <w:r>
        <w:rPr>
          <w:rFonts w:hint="eastAsia" w:ascii="宋体" w:hAnsi="宋体" w:cs="宋体"/>
          <w:color w:val="auto"/>
          <w:szCs w:val="21"/>
          <w:highlight w:val="none"/>
          <w:u w:val="single"/>
          <w:shd w:val="clear" w:color="auto" w:fill="FFFFFF"/>
        </w:rPr>
        <w:t xml:space="preserve"> </w:t>
      </w:r>
      <w:r>
        <w:rPr>
          <w:rFonts w:hint="eastAsia" w:ascii="宋体" w:hAnsi="宋体" w:cs="宋体"/>
          <w:color w:val="auto"/>
          <w:szCs w:val="21"/>
          <w:highlight w:val="none"/>
          <w:shd w:val="clear" w:color="auto" w:fill="FFFFFF"/>
        </w:rPr>
        <w:t>日</w:t>
      </w:r>
      <w:r>
        <w:rPr>
          <w:rFonts w:hint="eastAsia" w:ascii="宋体" w:hAnsi="宋体" w:cs="宋体"/>
          <w:color w:val="auto"/>
          <w:szCs w:val="21"/>
          <w:highlight w:val="none"/>
          <w:shd w:val="clear" w:color="auto" w:fill="FFFFFF"/>
          <w:lang w:val="en-US" w:eastAsia="zh-CN"/>
        </w:rPr>
        <w:t>9</w:t>
      </w:r>
      <w:r>
        <w:rPr>
          <w:rFonts w:hint="eastAsia" w:ascii="宋体" w:hAnsi="宋体" w:cs="宋体"/>
          <w:color w:val="auto"/>
          <w:szCs w:val="21"/>
          <w:highlight w:val="none"/>
          <w:shd w:val="clear" w:color="auto" w:fill="FFFFFF"/>
        </w:rPr>
        <w:t>时</w:t>
      </w:r>
      <w:r>
        <w:rPr>
          <w:rFonts w:hint="eastAsia" w:ascii="宋体" w:hAnsi="宋体" w:cs="宋体"/>
          <w:color w:val="auto"/>
          <w:szCs w:val="21"/>
          <w:highlight w:val="none"/>
          <w:shd w:val="clear" w:color="auto" w:fill="FFFFFF"/>
          <w:lang w:val="en-US" w:eastAsia="zh-CN"/>
        </w:rPr>
        <w:t>3</w:t>
      </w:r>
      <w:r>
        <w:rPr>
          <w:rFonts w:hint="eastAsia" w:ascii="宋体" w:hAnsi="宋体" w:cs="宋体"/>
          <w:color w:val="auto"/>
          <w:szCs w:val="21"/>
          <w:highlight w:val="none"/>
          <w:shd w:val="clear" w:color="auto" w:fill="FFFFFF"/>
        </w:rPr>
        <w:t>0分</w:t>
      </w:r>
    </w:p>
    <w:p w14:paraId="2FCF8322">
      <w:pPr>
        <w:shd w:val="clear" w:color="auto" w:fill="FFFFFF"/>
        <w:spacing w:line="500" w:lineRule="exact"/>
        <w:ind w:firstLine="420"/>
        <w:jc w:val="left"/>
        <w:rPr>
          <w:rFonts w:ascii="宋体" w:hAnsi="宋体" w:cs="宋体"/>
          <w:color w:val="auto"/>
          <w:szCs w:val="21"/>
          <w:highlight w:val="none"/>
          <w:shd w:val="clear" w:color="auto" w:fill="FFFFFF"/>
        </w:rPr>
      </w:pPr>
      <w:r>
        <w:rPr>
          <w:rFonts w:hint="eastAsia" w:ascii="宋体" w:hAnsi="宋体" w:cs="宋体"/>
          <w:color w:val="auto"/>
          <w:szCs w:val="21"/>
          <w:highlight w:val="none"/>
          <w:shd w:val="clear" w:color="auto" w:fill="FFFFFF"/>
        </w:rPr>
        <w:t>3、线上开标地点：“苏采云”系统（网址：http://jszfcg.jsczt.cn/）“开标大厅”。</w:t>
      </w:r>
    </w:p>
    <w:p w14:paraId="0FA6D7FD">
      <w:pPr>
        <w:shd w:val="clear" w:color="auto" w:fill="FFFFFF"/>
        <w:spacing w:line="500" w:lineRule="exact"/>
        <w:ind w:firstLine="420"/>
        <w:jc w:val="left"/>
        <w:rPr>
          <w:rFonts w:ascii="宋体" w:hAnsi="宋体" w:cs="宋体"/>
          <w:color w:val="auto"/>
          <w:szCs w:val="21"/>
          <w:highlight w:val="none"/>
        </w:rPr>
      </w:pPr>
      <w:r>
        <w:rPr>
          <w:rFonts w:hint="eastAsia" w:ascii="宋体" w:hAnsi="宋体" w:cs="宋体"/>
          <w:b/>
          <w:bCs/>
          <w:color w:val="auto"/>
          <w:szCs w:val="21"/>
          <w:highlight w:val="none"/>
          <w:shd w:val="clear" w:color="auto" w:fill="FFFFFF"/>
        </w:rPr>
        <w:t>五、公告期限</w:t>
      </w:r>
    </w:p>
    <w:p w14:paraId="1D1EDC36">
      <w:pPr>
        <w:shd w:val="clear" w:color="auto" w:fill="FFFFFF"/>
        <w:spacing w:line="500" w:lineRule="exact"/>
        <w:ind w:firstLine="420"/>
        <w:jc w:val="left"/>
        <w:rPr>
          <w:rFonts w:ascii="宋体" w:hAnsi="宋体" w:cs="宋体"/>
          <w:color w:val="auto"/>
          <w:szCs w:val="21"/>
          <w:highlight w:val="none"/>
        </w:rPr>
      </w:pPr>
      <w:r>
        <w:rPr>
          <w:rFonts w:hint="eastAsia" w:ascii="宋体" w:hAnsi="宋体" w:cs="宋体"/>
          <w:color w:val="auto"/>
          <w:szCs w:val="21"/>
          <w:highlight w:val="none"/>
          <w:shd w:val="clear" w:color="auto" w:fill="FFFFFF"/>
        </w:rPr>
        <w:t>自本公告发布之日起5个工作日。</w:t>
      </w:r>
    </w:p>
    <w:p w14:paraId="0D7D9D2B">
      <w:pPr>
        <w:widowControl/>
        <w:shd w:val="clear" w:color="auto" w:fill="FFFFFF"/>
        <w:spacing w:line="500" w:lineRule="exact"/>
        <w:ind w:firstLine="422"/>
        <w:jc w:val="left"/>
        <w:rPr>
          <w:rFonts w:ascii="宋体" w:hAnsi="宋体" w:cs="宋体"/>
          <w:color w:val="auto"/>
          <w:szCs w:val="21"/>
          <w:highlight w:val="none"/>
        </w:rPr>
      </w:pPr>
      <w:r>
        <w:rPr>
          <w:rFonts w:hint="eastAsia" w:ascii="宋体" w:hAnsi="宋体" w:cs="宋体"/>
          <w:b/>
          <w:bCs/>
          <w:color w:val="auto"/>
          <w:szCs w:val="21"/>
          <w:highlight w:val="none"/>
          <w:shd w:val="clear" w:color="auto" w:fill="FFFFFF"/>
        </w:rPr>
        <w:t>六、其他补充事宜</w:t>
      </w:r>
    </w:p>
    <w:p w14:paraId="31088F7B">
      <w:pPr>
        <w:widowControl/>
        <w:spacing w:line="500" w:lineRule="exact"/>
        <w:ind w:firstLine="420"/>
        <w:jc w:val="left"/>
        <w:rPr>
          <w:rFonts w:ascii="宋体" w:hAnsi="宋体" w:cs="宋体"/>
          <w:color w:val="auto"/>
          <w:szCs w:val="21"/>
          <w:highlight w:val="none"/>
        </w:rPr>
      </w:pPr>
      <w:r>
        <w:rPr>
          <w:rFonts w:hint="eastAsia" w:ascii="宋体" w:hAnsi="宋体" w:cs="宋体"/>
          <w:color w:val="auto"/>
          <w:szCs w:val="21"/>
          <w:highlight w:val="none"/>
        </w:rPr>
        <w:t>1、评标办法：综合评分法</w:t>
      </w:r>
    </w:p>
    <w:p w14:paraId="59A59467">
      <w:pPr>
        <w:widowControl/>
        <w:spacing w:line="500" w:lineRule="exact"/>
        <w:ind w:firstLine="420"/>
        <w:jc w:val="left"/>
        <w:rPr>
          <w:rFonts w:ascii="宋体" w:hAnsi="宋体" w:cs="宋体"/>
          <w:color w:val="auto"/>
          <w:szCs w:val="21"/>
          <w:highlight w:val="none"/>
        </w:rPr>
      </w:pPr>
      <w:r>
        <w:rPr>
          <w:rFonts w:hint="eastAsia" w:ascii="宋体" w:hAnsi="宋体" w:cs="宋体"/>
          <w:color w:val="auto"/>
          <w:szCs w:val="21"/>
          <w:highlight w:val="none"/>
        </w:rPr>
        <w:t>2、各投标人在投标截止时间前应当每天都上网查询，以便获取更新的澄清、修改、补充内容。凡涉及到该项目的补充说明和修改，均以江苏政府采购网上的更正或补充通知为准。</w:t>
      </w:r>
    </w:p>
    <w:p w14:paraId="20258417">
      <w:pPr>
        <w:widowControl/>
        <w:spacing w:line="500" w:lineRule="exact"/>
        <w:ind w:firstLine="420"/>
        <w:jc w:val="left"/>
        <w:rPr>
          <w:rFonts w:ascii="宋体" w:hAnsi="宋体" w:cs="宋体"/>
          <w:color w:val="auto"/>
          <w:szCs w:val="21"/>
          <w:highlight w:val="none"/>
        </w:rPr>
      </w:pPr>
      <w:r>
        <w:rPr>
          <w:rFonts w:ascii="宋体" w:hAnsi="宋体" w:cs="宋体"/>
          <w:color w:val="auto"/>
          <w:szCs w:val="21"/>
          <w:highlight w:val="none"/>
        </w:rPr>
        <w:t>3</w:t>
      </w:r>
      <w:r>
        <w:rPr>
          <w:rFonts w:hint="eastAsia" w:ascii="宋体" w:hAnsi="宋体" w:cs="宋体"/>
          <w:color w:val="auto"/>
          <w:szCs w:val="21"/>
          <w:highlight w:val="none"/>
        </w:rPr>
        <w:t>、投标人如在投标过程中存在以下行为，将被列入不良行为记录名单。</w:t>
      </w:r>
    </w:p>
    <w:p w14:paraId="126B81BB">
      <w:pPr>
        <w:widowControl/>
        <w:spacing w:line="500" w:lineRule="exact"/>
        <w:ind w:firstLine="420"/>
        <w:jc w:val="left"/>
        <w:rPr>
          <w:rFonts w:ascii="宋体" w:hAnsi="宋体" w:cs="宋体"/>
          <w:color w:val="auto"/>
          <w:szCs w:val="21"/>
          <w:highlight w:val="none"/>
        </w:rPr>
      </w:pPr>
      <w:r>
        <w:rPr>
          <w:rFonts w:hint="eastAsia" w:ascii="宋体" w:hAnsi="宋体" w:cs="宋体"/>
          <w:color w:val="auto"/>
          <w:szCs w:val="21"/>
          <w:highlight w:val="none"/>
        </w:rPr>
        <w:t>（1）提供虚假材料谋取中标的或采取不正当手段诋毁、排挤其他供应商的；</w:t>
      </w:r>
    </w:p>
    <w:p w14:paraId="57DC3352">
      <w:pPr>
        <w:widowControl/>
        <w:spacing w:line="500" w:lineRule="exact"/>
        <w:ind w:firstLine="420"/>
        <w:jc w:val="left"/>
        <w:rPr>
          <w:rFonts w:ascii="宋体" w:hAnsi="宋体" w:cs="宋体"/>
          <w:color w:val="auto"/>
          <w:szCs w:val="21"/>
          <w:highlight w:val="none"/>
        </w:rPr>
      </w:pPr>
      <w:r>
        <w:rPr>
          <w:rFonts w:hint="eastAsia" w:ascii="宋体" w:hAnsi="宋体" w:cs="宋体"/>
          <w:color w:val="auto"/>
          <w:szCs w:val="21"/>
          <w:highlight w:val="none"/>
        </w:rPr>
        <w:t>（2）投标人递交无竞争力投标文件的。</w:t>
      </w:r>
    </w:p>
    <w:p w14:paraId="5DC8BED8">
      <w:pPr>
        <w:widowControl/>
        <w:spacing w:line="500" w:lineRule="exact"/>
        <w:ind w:firstLine="420"/>
        <w:jc w:val="left"/>
        <w:rPr>
          <w:rFonts w:ascii="宋体" w:hAnsi="宋体" w:cs="宋体"/>
          <w:color w:val="auto"/>
          <w:szCs w:val="21"/>
          <w:highlight w:val="none"/>
        </w:rPr>
      </w:pPr>
      <w:r>
        <w:rPr>
          <w:rFonts w:ascii="宋体" w:hAnsi="宋体" w:cs="宋体"/>
          <w:color w:val="auto"/>
          <w:szCs w:val="21"/>
          <w:highlight w:val="none"/>
        </w:rPr>
        <w:t>4</w:t>
      </w:r>
      <w:r>
        <w:rPr>
          <w:rFonts w:hint="eastAsia" w:ascii="宋体" w:hAnsi="宋体" w:cs="宋体"/>
          <w:color w:val="auto"/>
          <w:szCs w:val="21"/>
          <w:highlight w:val="none"/>
        </w:rPr>
        <w:t>、投标人存在串通投标、以他人名义投标、弄虚作假等违法违规行为，或者无正当理由放弃投标、中标资格，造成项目招标失败的，不得参加该项目重新招标的投标。</w:t>
      </w:r>
    </w:p>
    <w:p w14:paraId="7FF59F30">
      <w:pPr>
        <w:widowControl/>
        <w:spacing w:line="500" w:lineRule="exact"/>
        <w:ind w:firstLine="420"/>
        <w:jc w:val="left"/>
        <w:rPr>
          <w:rFonts w:ascii="宋体" w:hAnsi="宋体" w:cs="宋体"/>
          <w:color w:val="auto"/>
          <w:szCs w:val="21"/>
          <w:highlight w:val="none"/>
        </w:rPr>
      </w:pPr>
      <w:r>
        <w:rPr>
          <w:rFonts w:ascii="宋体" w:hAnsi="宋体" w:cs="宋体"/>
          <w:color w:val="auto"/>
          <w:szCs w:val="21"/>
          <w:highlight w:val="none"/>
        </w:rPr>
        <w:t>5</w:t>
      </w:r>
      <w:r>
        <w:rPr>
          <w:rFonts w:hint="eastAsia" w:ascii="宋体" w:hAnsi="宋体" w:cs="宋体"/>
          <w:color w:val="auto"/>
          <w:szCs w:val="21"/>
          <w:highlight w:val="none"/>
        </w:rPr>
        <w:t>、因供应商的系统环境、操作等原因导致报名、开评标过程中出现问题由供应商自行承担负责。</w:t>
      </w:r>
    </w:p>
    <w:p w14:paraId="64543E14">
      <w:pPr>
        <w:widowControl/>
        <w:spacing w:line="500" w:lineRule="exact"/>
        <w:ind w:firstLine="420"/>
        <w:jc w:val="left"/>
        <w:rPr>
          <w:rFonts w:ascii="宋体" w:hAnsi="宋体" w:cs="宋体"/>
          <w:bCs/>
          <w:color w:val="auto"/>
          <w:szCs w:val="21"/>
          <w:highlight w:val="none"/>
          <w:shd w:val="clear" w:color="auto" w:fill="FFFFFF"/>
        </w:rPr>
      </w:pPr>
      <w:r>
        <w:rPr>
          <w:rFonts w:ascii="宋体" w:hAnsi="宋体" w:cs="宋体"/>
          <w:bCs/>
          <w:color w:val="auto"/>
          <w:szCs w:val="21"/>
          <w:highlight w:val="none"/>
          <w:shd w:val="clear" w:color="auto" w:fill="FFFFFF"/>
        </w:rPr>
        <w:t>6</w:t>
      </w:r>
      <w:r>
        <w:rPr>
          <w:rFonts w:hint="eastAsia" w:ascii="宋体" w:hAnsi="宋体" w:cs="宋体"/>
          <w:bCs/>
          <w:color w:val="auto"/>
          <w:szCs w:val="21"/>
          <w:highlight w:val="none"/>
          <w:shd w:val="clear" w:color="auto" w:fill="FFFFFF"/>
        </w:rPr>
        <w:t>、</w:t>
      </w:r>
      <w:r>
        <w:rPr>
          <w:rFonts w:hint="eastAsia" w:ascii="宋体" w:hAnsi="宋体"/>
          <w:color w:val="auto"/>
          <w:szCs w:val="21"/>
          <w:highlight w:val="none"/>
        </w:rPr>
        <w:t>电子投标文件一份(通过系统提交)；纸质投标文件正本一份，副本三份（评审结束后由中标人邮寄至江苏伟业项目管理有限公司（盐城市大丰区东方一号创意小镇9-1栋410室）</w:t>
      </w:r>
      <w:r>
        <w:rPr>
          <w:rFonts w:hint="eastAsia" w:ascii="宋体" w:hAnsi="宋体" w:cs="宋体"/>
          <w:bCs/>
          <w:color w:val="auto"/>
          <w:szCs w:val="21"/>
          <w:highlight w:val="none"/>
          <w:shd w:val="clear" w:color="auto" w:fill="FFFFFF"/>
        </w:rPr>
        <w:t>。</w:t>
      </w:r>
    </w:p>
    <w:p w14:paraId="568009DA">
      <w:pPr>
        <w:widowControl/>
        <w:spacing w:line="500" w:lineRule="exact"/>
        <w:ind w:firstLine="420"/>
        <w:jc w:val="left"/>
        <w:rPr>
          <w:rFonts w:ascii="宋体" w:hAnsi="宋体" w:cs="宋体"/>
          <w:bCs/>
          <w:color w:val="auto"/>
          <w:szCs w:val="21"/>
          <w:highlight w:val="none"/>
          <w:shd w:val="clear" w:color="auto" w:fill="FFFFFF"/>
        </w:rPr>
      </w:pPr>
      <w:r>
        <w:rPr>
          <w:rFonts w:ascii="宋体" w:hAnsi="宋体" w:cs="宋体"/>
          <w:bCs/>
          <w:color w:val="auto"/>
          <w:szCs w:val="21"/>
          <w:highlight w:val="none"/>
          <w:shd w:val="clear" w:color="auto" w:fill="FFFFFF"/>
        </w:rPr>
        <w:t>7</w:t>
      </w:r>
      <w:r>
        <w:rPr>
          <w:rFonts w:hint="eastAsia" w:ascii="宋体" w:hAnsi="宋体" w:cs="宋体"/>
          <w:bCs/>
          <w:color w:val="auto"/>
          <w:szCs w:val="21"/>
          <w:highlight w:val="none"/>
          <w:shd w:val="clear" w:color="auto" w:fill="FFFFFF"/>
        </w:rPr>
        <w:t>、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在盐城市政府采购网点击【办事指南】-【供应商参与政府采购活动相关资料】。</w:t>
      </w:r>
    </w:p>
    <w:p w14:paraId="4C85C9CE">
      <w:pPr>
        <w:spacing w:line="500" w:lineRule="exact"/>
        <w:ind w:firstLine="420"/>
        <w:jc w:val="left"/>
        <w:rPr>
          <w:rFonts w:ascii="宋体" w:hAnsi="宋体" w:cs="宋体"/>
          <w:bCs/>
          <w:color w:val="auto"/>
          <w:szCs w:val="21"/>
          <w:highlight w:val="none"/>
          <w:shd w:val="clear" w:color="auto" w:fill="FFFFFF"/>
        </w:rPr>
      </w:pPr>
      <w:r>
        <w:rPr>
          <w:rFonts w:hint="eastAsia" w:ascii="宋体" w:hAnsi="宋体" w:cs="宋体"/>
          <w:bCs/>
          <w:color w:val="auto"/>
          <w:szCs w:val="21"/>
          <w:highlight w:val="none"/>
          <w:shd w:val="clear" w:color="auto" w:fill="FFFFFF"/>
        </w:rPr>
        <w:t>领取CA和办理电子签章【请至亭湖区政务服务中心二楼226窗口办理，联系电话：15051556883，办理邮箱：yancheng@ideabank.net.cn，具体联系方式见《苏采云系统供应商操作手册》（以下简称《操作手册》）】进行注册并按《操作手册》要求制作、上传电子投标文件,《苏采云系统供应商操作手册》：在盐城市政府采购网点击【办事指南】-【供应商参与政府采购活动相关资料】。</w:t>
      </w:r>
    </w:p>
    <w:p w14:paraId="33C8B327">
      <w:pPr>
        <w:spacing w:line="500" w:lineRule="exact"/>
        <w:ind w:firstLine="420"/>
        <w:jc w:val="left"/>
        <w:rPr>
          <w:rFonts w:ascii="宋体" w:hAnsi="宋体" w:cs="宋体"/>
          <w:bCs/>
          <w:color w:val="auto"/>
          <w:szCs w:val="21"/>
          <w:highlight w:val="none"/>
          <w:shd w:val="clear" w:color="auto" w:fill="FFFFFF"/>
        </w:rPr>
      </w:pPr>
      <w:r>
        <w:rPr>
          <w:rFonts w:hint="eastAsia" w:ascii="宋体" w:hAnsi="宋体" w:cs="宋体"/>
          <w:bCs/>
          <w:color w:val="auto"/>
          <w:szCs w:val="21"/>
          <w:highlight w:val="none"/>
          <w:shd w:val="clear" w:color="auto" w:fill="FFFFFF"/>
        </w:rPr>
        <w:t>供应商操作过程中有问题联系软件公司的联系方式：投标人在使用系统进行投标的过程中如遇到涉及“苏采云”系统使用的任何问题，应在工作日上午9：00-11：30下午13：30-17：30期间致电技术支持热线咨询，联系电话：0519-86722805、0519-86617173。</w:t>
      </w:r>
    </w:p>
    <w:p w14:paraId="36112C48">
      <w:pPr>
        <w:widowControl/>
        <w:spacing w:line="500" w:lineRule="exact"/>
        <w:ind w:firstLine="422"/>
        <w:jc w:val="left"/>
        <w:rPr>
          <w:rFonts w:ascii="宋体" w:hAnsi="宋体" w:cs="宋体"/>
          <w:color w:val="auto"/>
          <w:szCs w:val="21"/>
          <w:highlight w:val="none"/>
        </w:rPr>
      </w:pPr>
      <w:r>
        <w:rPr>
          <w:rFonts w:hint="eastAsia" w:ascii="宋体" w:hAnsi="宋体" w:cs="宋体"/>
          <w:b/>
          <w:bCs/>
          <w:color w:val="auto"/>
          <w:szCs w:val="21"/>
          <w:highlight w:val="none"/>
          <w:shd w:val="clear" w:color="auto" w:fill="FFFFFF"/>
        </w:rPr>
        <w:t>七、对本次招标提出询问，请按以下方式联系。</w:t>
      </w:r>
    </w:p>
    <w:p w14:paraId="07D6DBD7">
      <w:pPr>
        <w:widowControl/>
        <w:spacing w:line="500" w:lineRule="exact"/>
        <w:ind w:firstLine="482"/>
        <w:jc w:val="left"/>
        <w:outlineLvl w:val="1"/>
        <w:rPr>
          <w:rFonts w:ascii="宋体" w:hAnsi="宋体" w:cs="宋体"/>
          <w:bCs/>
          <w:color w:val="auto"/>
          <w:szCs w:val="21"/>
          <w:highlight w:val="none"/>
        </w:rPr>
      </w:pPr>
      <w:r>
        <w:rPr>
          <w:rFonts w:hint="eastAsia" w:ascii="宋体" w:hAnsi="宋体" w:cs="宋体"/>
          <w:bCs/>
          <w:color w:val="auto"/>
          <w:szCs w:val="21"/>
          <w:highlight w:val="none"/>
        </w:rPr>
        <w:t>1、招标人信息</w:t>
      </w:r>
    </w:p>
    <w:p w14:paraId="0640D15A">
      <w:pPr>
        <w:widowControl/>
        <w:spacing w:line="500" w:lineRule="exact"/>
        <w:ind w:firstLine="482"/>
        <w:jc w:val="left"/>
        <w:outlineLvl w:val="1"/>
        <w:rPr>
          <w:rFonts w:ascii="宋体" w:hAnsi="宋体" w:cs="宋体"/>
          <w:bCs/>
          <w:color w:val="auto"/>
          <w:szCs w:val="21"/>
          <w:highlight w:val="none"/>
        </w:rPr>
      </w:pPr>
      <w:r>
        <w:rPr>
          <w:rFonts w:hint="eastAsia" w:ascii="宋体" w:hAnsi="宋体" w:cs="宋体"/>
          <w:bCs/>
          <w:color w:val="auto"/>
          <w:szCs w:val="21"/>
          <w:highlight w:val="none"/>
        </w:rPr>
        <w:t xml:space="preserve">招标人：盐城市大丰区交通运输局 </w:t>
      </w:r>
    </w:p>
    <w:p w14:paraId="5D044BD9">
      <w:pPr>
        <w:widowControl/>
        <w:spacing w:line="500" w:lineRule="exact"/>
        <w:ind w:firstLine="482"/>
        <w:jc w:val="left"/>
        <w:outlineLvl w:val="1"/>
        <w:rPr>
          <w:rFonts w:ascii="宋体" w:hAnsi="宋体" w:cs="宋体"/>
          <w:bCs/>
          <w:color w:val="auto"/>
          <w:szCs w:val="21"/>
          <w:highlight w:val="none"/>
        </w:rPr>
      </w:pPr>
      <w:r>
        <w:rPr>
          <w:rFonts w:hint="eastAsia" w:ascii="宋体" w:hAnsi="宋体" w:cs="宋体"/>
          <w:bCs/>
          <w:color w:val="auto"/>
          <w:szCs w:val="21"/>
          <w:highlight w:val="none"/>
        </w:rPr>
        <w:t>联系地址：盐城市大丰区幸福西大街6号</w:t>
      </w:r>
    </w:p>
    <w:p w14:paraId="72B8E24A">
      <w:pPr>
        <w:widowControl/>
        <w:spacing w:line="500" w:lineRule="exact"/>
        <w:ind w:firstLine="482"/>
        <w:jc w:val="left"/>
        <w:outlineLvl w:val="1"/>
        <w:rPr>
          <w:rFonts w:ascii="宋体" w:hAnsi="宋体" w:cs="宋体"/>
          <w:bCs/>
          <w:color w:val="auto"/>
          <w:szCs w:val="21"/>
          <w:highlight w:val="none"/>
        </w:rPr>
      </w:pPr>
      <w:r>
        <w:rPr>
          <w:rFonts w:hint="eastAsia" w:ascii="宋体" w:hAnsi="宋体" w:cs="宋体"/>
          <w:bCs/>
          <w:color w:val="auto"/>
          <w:szCs w:val="21"/>
          <w:highlight w:val="none"/>
        </w:rPr>
        <w:t>联 系 人: 陈先生</w:t>
      </w:r>
    </w:p>
    <w:p w14:paraId="4E05D3A3">
      <w:pPr>
        <w:widowControl/>
        <w:spacing w:line="500" w:lineRule="exact"/>
        <w:ind w:firstLine="482"/>
        <w:jc w:val="left"/>
        <w:outlineLvl w:val="1"/>
        <w:rPr>
          <w:rFonts w:ascii="宋体" w:hAnsi="宋体" w:cs="宋体"/>
          <w:bCs/>
          <w:color w:val="auto"/>
          <w:szCs w:val="21"/>
          <w:highlight w:val="none"/>
        </w:rPr>
      </w:pPr>
      <w:r>
        <w:rPr>
          <w:rFonts w:hint="eastAsia" w:ascii="宋体" w:hAnsi="宋体" w:cs="宋体"/>
          <w:bCs/>
          <w:color w:val="auto"/>
          <w:szCs w:val="21"/>
          <w:highlight w:val="none"/>
        </w:rPr>
        <w:t>联系电话：19051510680</w:t>
      </w:r>
    </w:p>
    <w:p w14:paraId="0BFDF693">
      <w:pPr>
        <w:widowControl/>
        <w:spacing w:line="500" w:lineRule="exact"/>
        <w:ind w:firstLine="482"/>
        <w:jc w:val="left"/>
        <w:outlineLvl w:val="1"/>
        <w:rPr>
          <w:rFonts w:ascii="宋体" w:hAnsi="宋体" w:cs="宋体"/>
          <w:bCs/>
          <w:color w:val="auto"/>
          <w:szCs w:val="21"/>
          <w:highlight w:val="none"/>
        </w:rPr>
      </w:pPr>
      <w:r>
        <w:rPr>
          <w:rFonts w:hint="eastAsia" w:ascii="宋体" w:hAnsi="宋体" w:cs="宋体"/>
          <w:bCs/>
          <w:color w:val="auto"/>
          <w:szCs w:val="21"/>
          <w:highlight w:val="none"/>
        </w:rPr>
        <w:t>2、招标代理机构信息</w:t>
      </w:r>
    </w:p>
    <w:p w14:paraId="53282611">
      <w:pPr>
        <w:widowControl/>
        <w:spacing w:line="500" w:lineRule="exact"/>
        <w:ind w:firstLine="482"/>
        <w:jc w:val="left"/>
        <w:outlineLvl w:val="1"/>
        <w:rPr>
          <w:rFonts w:ascii="宋体" w:hAnsi="宋体" w:cs="宋体"/>
          <w:bCs/>
          <w:color w:val="auto"/>
          <w:szCs w:val="21"/>
          <w:highlight w:val="none"/>
        </w:rPr>
      </w:pPr>
      <w:r>
        <w:rPr>
          <w:rFonts w:hint="eastAsia" w:ascii="宋体" w:hAnsi="宋体" w:cs="宋体"/>
          <w:bCs/>
          <w:color w:val="auto"/>
          <w:szCs w:val="21"/>
          <w:highlight w:val="none"/>
        </w:rPr>
        <w:t>招标代理：江苏伟业项目管理有限公司</w:t>
      </w:r>
    </w:p>
    <w:p w14:paraId="1FD92FAC">
      <w:pPr>
        <w:widowControl/>
        <w:spacing w:line="500" w:lineRule="exact"/>
        <w:ind w:firstLine="482"/>
        <w:jc w:val="left"/>
        <w:outlineLvl w:val="1"/>
        <w:rPr>
          <w:rFonts w:ascii="宋体" w:hAnsi="宋体" w:cs="宋体"/>
          <w:bCs/>
          <w:color w:val="auto"/>
          <w:szCs w:val="21"/>
          <w:highlight w:val="none"/>
        </w:rPr>
      </w:pPr>
      <w:r>
        <w:rPr>
          <w:rFonts w:hint="eastAsia" w:ascii="宋体" w:hAnsi="宋体" w:cs="宋体"/>
          <w:bCs/>
          <w:color w:val="auto"/>
          <w:szCs w:val="21"/>
          <w:highlight w:val="none"/>
        </w:rPr>
        <w:t>联系地址：盐城市大丰区东方一号创意小镇9-1栋410室</w:t>
      </w:r>
    </w:p>
    <w:p w14:paraId="74CBDC25">
      <w:pPr>
        <w:widowControl/>
        <w:spacing w:line="500" w:lineRule="exact"/>
        <w:ind w:firstLine="482"/>
        <w:jc w:val="left"/>
        <w:outlineLvl w:val="1"/>
        <w:rPr>
          <w:rFonts w:ascii="宋体" w:hAnsi="宋体" w:cs="宋体"/>
          <w:bCs/>
          <w:color w:val="auto"/>
          <w:szCs w:val="21"/>
          <w:highlight w:val="none"/>
        </w:rPr>
      </w:pPr>
      <w:r>
        <w:rPr>
          <w:rFonts w:hint="eastAsia" w:ascii="宋体" w:hAnsi="宋体" w:cs="宋体"/>
          <w:bCs/>
          <w:color w:val="auto"/>
          <w:szCs w:val="21"/>
          <w:highlight w:val="none"/>
        </w:rPr>
        <w:t>联 系 人：陈荣</w:t>
      </w:r>
    </w:p>
    <w:p w14:paraId="43C4C638">
      <w:pPr>
        <w:widowControl/>
        <w:spacing w:line="500" w:lineRule="exact"/>
        <w:ind w:firstLine="482"/>
        <w:jc w:val="left"/>
        <w:outlineLvl w:val="1"/>
        <w:rPr>
          <w:rFonts w:hint="eastAsia" w:ascii="宋体" w:hAnsi="宋体" w:cs="宋体"/>
          <w:bCs/>
          <w:color w:val="auto"/>
          <w:szCs w:val="21"/>
          <w:highlight w:val="none"/>
        </w:rPr>
      </w:pPr>
      <w:r>
        <w:rPr>
          <w:rFonts w:hint="eastAsia" w:ascii="宋体" w:hAnsi="宋体" w:cs="宋体"/>
          <w:bCs/>
          <w:color w:val="auto"/>
          <w:szCs w:val="21"/>
          <w:highlight w:val="none"/>
        </w:rPr>
        <w:t>联系电话：18651527595</w:t>
      </w:r>
    </w:p>
    <w:p w14:paraId="46E5C037">
      <w:pPr>
        <w:widowControl/>
        <w:spacing w:line="500" w:lineRule="exact"/>
        <w:ind w:firstLine="482"/>
        <w:jc w:val="left"/>
        <w:outlineLvl w:val="1"/>
        <w:rPr>
          <w:rFonts w:hint="eastAsia" w:ascii="宋体" w:hAnsi="宋体" w:cs="宋体"/>
          <w:bCs/>
          <w:color w:val="auto"/>
          <w:szCs w:val="21"/>
          <w:highlight w:val="none"/>
          <w:lang w:val="en-US" w:eastAsia="zh-CN"/>
        </w:rPr>
      </w:pPr>
      <w:r>
        <w:rPr>
          <w:rFonts w:hint="eastAsia" w:ascii="宋体" w:hAnsi="宋体" w:cs="宋体"/>
          <w:bCs/>
          <w:color w:val="auto"/>
          <w:szCs w:val="21"/>
          <w:highlight w:val="none"/>
          <w:lang w:val="en-US" w:eastAsia="zh-CN"/>
        </w:rPr>
        <w:t>3、项目联系方式</w:t>
      </w:r>
    </w:p>
    <w:p w14:paraId="424A86F6">
      <w:pPr>
        <w:widowControl/>
        <w:spacing w:line="500" w:lineRule="exact"/>
        <w:ind w:firstLine="482"/>
        <w:jc w:val="left"/>
        <w:outlineLvl w:val="1"/>
        <w:rPr>
          <w:rFonts w:hint="eastAsia" w:ascii="宋体" w:hAnsi="宋体" w:cs="宋体"/>
          <w:bCs/>
          <w:color w:val="auto"/>
          <w:szCs w:val="21"/>
          <w:highlight w:val="none"/>
          <w:lang w:val="en-US" w:eastAsia="zh-CN"/>
        </w:rPr>
      </w:pPr>
      <w:r>
        <w:rPr>
          <w:rFonts w:hint="eastAsia" w:ascii="宋体" w:hAnsi="宋体" w:cs="宋体"/>
          <w:bCs/>
          <w:color w:val="auto"/>
          <w:szCs w:val="21"/>
          <w:highlight w:val="none"/>
          <w:lang w:val="en-US" w:eastAsia="zh-CN"/>
        </w:rPr>
        <w:t>项目联系人：陈荣</w:t>
      </w:r>
    </w:p>
    <w:p w14:paraId="5B069EE0">
      <w:pPr>
        <w:widowControl/>
        <w:spacing w:line="500" w:lineRule="exact"/>
        <w:ind w:firstLine="482"/>
        <w:jc w:val="left"/>
        <w:outlineLvl w:val="1"/>
        <w:rPr>
          <w:rFonts w:hint="default" w:ascii="宋体" w:hAnsi="宋体" w:cs="宋体"/>
          <w:bCs/>
          <w:color w:val="auto"/>
          <w:szCs w:val="21"/>
          <w:highlight w:val="none"/>
          <w:lang w:val="en-US" w:eastAsia="zh-CN"/>
        </w:rPr>
      </w:pPr>
      <w:r>
        <w:rPr>
          <w:rFonts w:hint="eastAsia" w:ascii="宋体" w:hAnsi="宋体" w:cs="宋体"/>
          <w:bCs/>
          <w:color w:val="auto"/>
          <w:szCs w:val="21"/>
          <w:highlight w:val="none"/>
          <w:lang w:val="en-US" w:eastAsia="zh-CN"/>
        </w:rPr>
        <w:t>电话：</w:t>
      </w:r>
      <w:r>
        <w:rPr>
          <w:rFonts w:hint="eastAsia" w:ascii="宋体" w:hAnsi="宋体" w:cs="宋体"/>
          <w:bCs/>
          <w:color w:val="auto"/>
          <w:szCs w:val="21"/>
          <w:highlight w:val="none"/>
        </w:rPr>
        <w:t>18651527595</w:t>
      </w:r>
    </w:p>
    <w:p w14:paraId="06B080A2">
      <w:pPr>
        <w:pStyle w:val="380"/>
        <w:spacing w:line="600" w:lineRule="exact"/>
        <w:rPr>
          <w:color w:val="auto"/>
          <w:highlight w:val="none"/>
        </w:rPr>
      </w:pPr>
      <w:r>
        <w:rPr>
          <w:color w:val="auto"/>
          <w:highlight w:val="none"/>
        </w:rPr>
        <w:br w:type="page" w:clear="all"/>
      </w:r>
      <w:bookmarkEnd w:id="5"/>
      <w:bookmarkEnd w:id="6"/>
      <w:bookmarkEnd w:id="18"/>
      <w:bookmarkEnd w:id="19"/>
      <w:bookmarkStart w:id="20" w:name="_Toc387526373"/>
      <w:bookmarkStart w:id="21" w:name="_Toc387526177"/>
      <w:bookmarkStart w:id="22" w:name="_Toc498782231"/>
      <w:bookmarkStart w:id="23" w:name="_Toc369077558"/>
      <w:bookmarkStart w:id="24" w:name="_Toc397928547"/>
      <w:bookmarkStart w:id="25" w:name="_Toc368759512"/>
      <w:bookmarkStart w:id="26" w:name="_Toc6770"/>
      <w:bookmarkStart w:id="27" w:name="_Toc387526281"/>
      <w:bookmarkStart w:id="28" w:name="_Toc363326679"/>
      <w:bookmarkStart w:id="29" w:name="_Toc184635069"/>
      <w:r>
        <w:rPr>
          <w:rFonts w:ascii="Times New Roman" w:hAnsi="Times New Roman" w:cs="Times New Roman"/>
          <w:color w:val="auto"/>
          <w:sz w:val="44"/>
          <w:szCs w:val="44"/>
          <w:highlight w:val="none"/>
        </w:rPr>
        <w:t>第二章  投标人须知</w:t>
      </w:r>
      <w:bookmarkEnd w:id="20"/>
      <w:bookmarkEnd w:id="21"/>
      <w:bookmarkEnd w:id="22"/>
      <w:bookmarkEnd w:id="23"/>
      <w:bookmarkEnd w:id="24"/>
      <w:bookmarkEnd w:id="25"/>
      <w:bookmarkEnd w:id="26"/>
      <w:bookmarkEnd w:id="27"/>
      <w:bookmarkEnd w:id="28"/>
      <w:bookmarkEnd w:id="29"/>
    </w:p>
    <w:p w14:paraId="782C1CDE">
      <w:pPr>
        <w:pStyle w:val="380"/>
        <w:spacing w:line="600" w:lineRule="exact"/>
        <w:jc w:val="left"/>
        <w:rPr>
          <w:rFonts w:ascii="宋体" w:hAnsi="宋体" w:cs="Times New Roman"/>
          <w:bCs w:val="0"/>
          <w:color w:val="auto"/>
          <w:sz w:val="21"/>
          <w:szCs w:val="21"/>
          <w:highlight w:val="none"/>
        </w:rPr>
      </w:pPr>
      <w:bookmarkStart w:id="30" w:name="_Toc369077559"/>
      <w:bookmarkStart w:id="31" w:name="_Toc397928548"/>
      <w:bookmarkStart w:id="32" w:name="_Toc498782232"/>
      <w:bookmarkStart w:id="33" w:name="_Toc387526282"/>
      <w:bookmarkStart w:id="34" w:name="_Toc16205"/>
      <w:bookmarkStart w:id="35" w:name="_Toc387526178"/>
      <w:bookmarkStart w:id="36" w:name="_Toc387526374"/>
      <w:r>
        <w:rPr>
          <w:rFonts w:hint="eastAsia" w:ascii="宋体" w:hAnsi="宋体" w:cs="Times New Roman"/>
          <w:bCs w:val="0"/>
          <w:color w:val="auto"/>
          <w:sz w:val="21"/>
          <w:szCs w:val="21"/>
          <w:highlight w:val="none"/>
        </w:rPr>
        <w:t>一、</w:t>
      </w:r>
      <w:r>
        <w:rPr>
          <w:rFonts w:ascii="宋体" w:hAnsi="宋体" w:cs="Times New Roman"/>
          <w:bCs w:val="0"/>
          <w:color w:val="auto"/>
          <w:sz w:val="21"/>
          <w:szCs w:val="21"/>
          <w:highlight w:val="none"/>
        </w:rPr>
        <w:t>投标人须知前附表</w:t>
      </w:r>
      <w:bookmarkEnd w:id="30"/>
      <w:bookmarkEnd w:id="31"/>
      <w:bookmarkEnd w:id="32"/>
      <w:bookmarkEnd w:id="33"/>
      <w:bookmarkEnd w:id="34"/>
      <w:bookmarkEnd w:id="35"/>
      <w:bookmarkEnd w:id="36"/>
    </w:p>
    <w:tbl>
      <w:tblPr>
        <w:tblStyle w:val="32"/>
        <w:tblW w:w="970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044"/>
        <w:gridCol w:w="2533"/>
        <w:gridCol w:w="6127"/>
      </w:tblGrid>
      <w:tr w14:paraId="0B65314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1044" w:type="dxa"/>
            <w:vAlign w:val="center"/>
          </w:tcPr>
          <w:p w14:paraId="73BD51DB">
            <w:pPr>
              <w:jc w:val="center"/>
              <w:rPr>
                <w:rFonts w:ascii="宋体" w:hAnsi="宋体"/>
                <w:b/>
                <w:color w:val="auto"/>
                <w:szCs w:val="21"/>
                <w:highlight w:val="none"/>
              </w:rPr>
            </w:pPr>
            <w:r>
              <w:rPr>
                <w:rFonts w:hint="eastAsia" w:ascii="宋体" w:hAnsi="宋体"/>
                <w:b/>
                <w:color w:val="auto"/>
                <w:szCs w:val="21"/>
                <w:highlight w:val="none"/>
              </w:rPr>
              <w:t>序号</w:t>
            </w:r>
          </w:p>
        </w:tc>
        <w:tc>
          <w:tcPr>
            <w:tcW w:w="2533" w:type="dxa"/>
            <w:vAlign w:val="center"/>
          </w:tcPr>
          <w:p w14:paraId="705F945F">
            <w:pPr>
              <w:jc w:val="center"/>
              <w:rPr>
                <w:rFonts w:ascii="宋体" w:hAnsi="宋体"/>
                <w:b/>
                <w:color w:val="auto"/>
                <w:szCs w:val="21"/>
                <w:highlight w:val="none"/>
              </w:rPr>
            </w:pPr>
            <w:r>
              <w:rPr>
                <w:rFonts w:ascii="宋体" w:hAnsi="宋体"/>
                <w:b/>
                <w:color w:val="auto"/>
                <w:szCs w:val="21"/>
                <w:highlight w:val="none"/>
              </w:rPr>
              <w:t>条 款 名 称</w:t>
            </w:r>
          </w:p>
        </w:tc>
        <w:tc>
          <w:tcPr>
            <w:tcW w:w="6127" w:type="dxa"/>
            <w:vAlign w:val="center"/>
          </w:tcPr>
          <w:p w14:paraId="6B2B30AE">
            <w:pPr>
              <w:jc w:val="center"/>
              <w:rPr>
                <w:rFonts w:ascii="宋体" w:hAnsi="宋体"/>
                <w:b/>
                <w:color w:val="auto"/>
                <w:szCs w:val="21"/>
                <w:highlight w:val="none"/>
              </w:rPr>
            </w:pPr>
            <w:r>
              <w:rPr>
                <w:rFonts w:ascii="宋体" w:hAnsi="宋体"/>
                <w:b/>
                <w:color w:val="auto"/>
                <w:szCs w:val="21"/>
                <w:highlight w:val="none"/>
              </w:rPr>
              <w:t>编 列 内 容</w:t>
            </w:r>
          </w:p>
        </w:tc>
      </w:tr>
      <w:tr w14:paraId="3719FB0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18" w:hRule="atLeast"/>
          <w:jc w:val="center"/>
        </w:trPr>
        <w:tc>
          <w:tcPr>
            <w:tcW w:w="1044" w:type="dxa"/>
            <w:vAlign w:val="center"/>
          </w:tcPr>
          <w:p w14:paraId="3623306A">
            <w:pPr>
              <w:jc w:val="center"/>
              <w:rPr>
                <w:rFonts w:ascii="宋体" w:hAnsi="宋体"/>
                <w:color w:val="auto"/>
                <w:szCs w:val="21"/>
                <w:highlight w:val="none"/>
              </w:rPr>
            </w:pPr>
            <w:r>
              <w:rPr>
                <w:rFonts w:ascii="宋体" w:hAnsi="宋体"/>
                <w:color w:val="auto"/>
                <w:szCs w:val="21"/>
                <w:highlight w:val="none"/>
              </w:rPr>
              <w:t>1</w:t>
            </w:r>
          </w:p>
        </w:tc>
        <w:tc>
          <w:tcPr>
            <w:tcW w:w="2533" w:type="dxa"/>
            <w:vAlign w:val="center"/>
          </w:tcPr>
          <w:p w14:paraId="435A5F9D">
            <w:pPr>
              <w:jc w:val="center"/>
              <w:rPr>
                <w:rFonts w:ascii="宋体" w:hAnsi="宋体"/>
                <w:color w:val="auto"/>
                <w:szCs w:val="21"/>
                <w:highlight w:val="none"/>
              </w:rPr>
            </w:pPr>
            <w:r>
              <w:rPr>
                <w:rFonts w:ascii="宋体" w:hAnsi="宋体"/>
                <w:color w:val="auto"/>
                <w:szCs w:val="21"/>
                <w:highlight w:val="none"/>
              </w:rPr>
              <w:t>招标人</w:t>
            </w:r>
          </w:p>
        </w:tc>
        <w:tc>
          <w:tcPr>
            <w:tcW w:w="6127" w:type="dxa"/>
            <w:vAlign w:val="center"/>
          </w:tcPr>
          <w:p w14:paraId="2E63F8E3">
            <w:pPr>
              <w:spacing w:line="480" w:lineRule="exact"/>
              <w:rPr>
                <w:rFonts w:ascii="宋体" w:hAnsi="宋体"/>
                <w:color w:val="auto"/>
                <w:szCs w:val="21"/>
                <w:highlight w:val="none"/>
              </w:rPr>
            </w:pPr>
            <w:r>
              <w:rPr>
                <w:rFonts w:hint="eastAsia" w:ascii="宋体" w:hAnsi="宋体"/>
                <w:color w:val="auto"/>
                <w:szCs w:val="21"/>
                <w:highlight w:val="none"/>
              </w:rPr>
              <w:t>盐城市大丰区交通运输局</w:t>
            </w:r>
          </w:p>
        </w:tc>
      </w:tr>
      <w:tr w14:paraId="7C3BCB5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18" w:hRule="atLeast"/>
          <w:jc w:val="center"/>
        </w:trPr>
        <w:tc>
          <w:tcPr>
            <w:tcW w:w="1044" w:type="dxa"/>
            <w:vAlign w:val="center"/>
          </w:tcPr>
          <w:p w14:paraId="275B182B">
            <w:pPr>
              <w:jc w:val="center"/>
              <w:rPr>
                <w:rFonts w:ascii="宋体" w:hAnsi="宋体"/>
                <w:color w:val="auto"/>
                <w:szCs w:val="21"/>
                <w:highlight w:val="none"/>
              </w:rPr>
            </w:pPr>
            <w:r>
              <w:rPr>
                <w:rFonts w:ascii="宋体" w:hAnsi="宋体"/>
                <w:color w:val="auto"/>
                <w:szCs w:val="21"/>
                <w:highlight w:val="none"/>
              </w:rPr>
              <w:t>2</w:t>
            </w:r>
          </w:p>
        </w:tc>
        <w:tc>
          <w:tcPr>
            <w:tcW w:w="2533" w:type="dxa"/>
            <w:vAlign w:val="center"/>
          </w:tcPr>
          <w:p w14:paraId="1886BF75">
            <w:pPr>
              <w:jc w:val="center"/>
              <w:rPr>
                <w:rFonts w:ascii="宋体" w:hAnsi="宋体"/>
                <w:color w:val="auto"/>
                <w:szCs w:val="21"/>
                <w:highlight w:val="none"/>
              </w:rPr>
            </w:pPr>
            <w:r>
              <w:rPr>
                <w:rFonts w:ascii="宋体" w:hAnsi="宋体"/>
                <w:color w:val="auto"/>
                <w:szCs w:val="21"/>
                <w:highlight w:val="none"/>
              </w:rPr>
              <w:t>招标代理机构</w:t>
            </w:r>
          </w:p>
        </w:tc>
        <w:tc>
          <w:tcPr>
            <w:tcW w:w="6127" w:type="dxa"/>
            <w:vAlign w:val="center"/>
          </w:tcPr>
          <w:p w14:paraId="36D428F4">
            <w:pPr>
              <w:spacing w:line="480" w:lineRule="exact"/>
              <w:rPr>
                <w:rFonts w:ascii="宋体" w:hAnsi="宋体"/>
                <w:color w:val="auto"/>
                <w:szCs w:val="21"/>
                <w:highlight w:val="none"/>
              </w:rPr>
            </w:pPr>
            <w:r>
              <w:rPr>
                <w:rFonts w:hint="eastAsia" w:ascii="宋体" w:hAnsi="宋体"/>
                <w:color w:val="auto"/>
                <w:szCs w:val="21"/>
                <w:highlight w:val="none"/>
              </w:rPr>
              <w:t>江苏伟业项目管理有限公司</w:t>
            </w:r>
          </w:p>
        </w:tc>
      </w:tr>
      <w:tr w14:paraId="0353252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18" w:hRule="atLeast"/>
          <w:jc w:val="center"/>
        </w:trPr>
        <w:tc>
          <w:tcPr>
            <w:tcW w:w="1044" w:type="dxa"/>
            <w:vAlign w:val="center"/>
          </w:tcPr>
          <w:p w14:paraId="414F1F36">
            <w:pPr>
              <w:jc w:val="center"/>
              <w:rPr>
                <w:rFonts w:ascii="宋体" w:hAnsi="宋体"/>
                <w:color w:val="auto"/>
                <w:szCs w:val="21"/>
                <w:highlight w:val="none"/>
              </w:rPr>
            </w:pPr>
            <w:r>
              <w:rPr>
                <w:rFonts w:ascii="宋体" w:hAnsi="宋体"/>
                <w:color w:val="auto"/>
                <w:szCs w:val="21"/>
                <w:highlight w:val="none"/>
              </w:rPr>
              <w:t>3</w:t>
            </w:r>
          </w:p>
        </w:tc>
        <w:tc>
          <w:tcPr>
            <w:tcW w:w="2533" w:type="dxa"/>
            <w:vAlign w:val="center"/>
          </w:tcPr>
          <w:p w14:paraId="24BEB07C">
            <w:pPr>
              <w:jc w:val="center"/>
              <w:rPr>
                <w:rFonts w:ascii="宋体" w:hAnsi="宋体"/>
                <w:color w:val="auto"/>
                <w:szCs w:val="21"/>
                <w:highlight w:val="none"/>
              </w:rPr>
            </w:pPr>
            <w:r>
              <w:rPr>
                <w:rFonts w:ascii="宋体" w:hAnsi="宋体"/>
                <w:color w:val="auto"/>
                <w:szCs w:val="21"/>
                <w:highlight w:val="none"/>
              </w:rPr>
              <w:t>项目名称</w:t>
            </w:r>
          </w:p>
        </w:tc>
        <w:tc>
          <w:tcPr>
            <w:tcW w:w="6127" w:type="dxa"/>
            <w:vAlign w:val="center"/>
          </w:tcPr>
          <w:p w14:paraId="0CD426F3">
            <w:pPr>
              <w:spacing w:line="480" w:lineRule="exact"/>
              <w:rPr>
                <w:rFonts w:ascii="宋体" w:hAnsi="宋体"/>
                <w:color w:val="auto"/>
                <w:szCs w:val="21"/>
                <w:highlight w:val="none"/>
              </w:rPr>
            </w:pPr>
            <w:r>
              <w:rPr>
                <w:rFonts w:hint="eastAsia" w:ascii="宋体" w:hAnsi="宋体"/>
                <w:color w:val="auto"/>
                <w:szCs w:val="21"/>
                <w:highlight w:val="none"/>
              </w:rPr>
              <w:t>盐城市大丰区综合立体交通网规划编制项目</w:t>
            </w:r>
          </w:p>
        </w:tc>
      </w:tr>
      <w:tr w14:paraId="51471CE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18" w:hRule="atLeast"/>
          <w:jc w:val="center"/>
        </w:trPr>
        <w:tc>
          <w:tcPr>
            <w:tcW w:w="1044" w:type="dxa"/>
            <w:vAlign w:val="center"/>
          </w:tcPr>
          <w:p w14:paraId="721AB093">
            <w:pPr>
              <w:jc w:val="center"/>
              <w:rPr>
                <w:rFonts w:ascii="宋体" w:hAnsi="宋体"/>
                <w:color w:val="auto"/>
                <w:szCs w:val="21"/>
                <w:highlight w:val="none"/>
              </w:rPr>
            </w:pPr>
            <w:r>
              <w:rPr>
                <w:rFonts w:ascii="宋体" w:hAnsi="宋体"/>
                <w:color w:val="auto"/>
                <w:szCs w:val="21"/>
                <w:highlight w:val="none"/>
              </w:rPr>
              <w:t>4</w:t>
            </w:r>
          </w:p>
        </w:tc>
        <w:tc>
          <w:tcPr>
            <w:tcW w:w="2533" w:type="dxa"/>
            <w:vAlign w:val="center"/>
          </w:tcPr>
          <w:p w14:paraId="6AC34D79">
            <w:pPr>
              <w:jc w:val="center"/>
              <w:rPr>
                <w:rFonts w:ascii="宋体" w:hAnsi="宋体"/>
                <w:color w:val="auto"/>
                <w:szCs w:val="21"/>
                <w:highlight w:val="none"/>
              </w:rPr>
            </w:pPr>
            <w:r>
              <w:rPr>
                <w:rFonts w:ascii="宋体" w:hAnsi="宋体"/>
                <w:color w:val="auto"/>
                <w:szCs w:val="21"/>
                <w:highlight w:val="none"/>
              </w:rPr>
              <w:t>资金来源</w:t>
            </w:r>
          </w:p>
        </w:tc>
        <w:tc>
          <w:tcPr>
            <w:tcW w:w="6127" w:type="dxa"/>
            <w:vAlign w:val="center"/>
          </w:tcPr>
          <w:p w14:paraId="18757D58">
            <w:pPr>
              <w:widowControl/>
              <w:spacing w:line="480" w:lineRule="exact"/>
              <w:jc w:val="left"/>
              <w:rPr>
                <w:rFonts w:ascii="宋体" w:hAnsi="宋体" w:cs="宋体"/>
                <w:color w:val="auto"/>
                <w:szCs w:val="21"/>
                <w:highlight w:val="none"/>
              </w:rPr>
            </w:pPr>
            <w:r>
              <w:rPr>
                <w:rFonts w:hint="eastAsia" w:ascii="宋体" w:hAnsi="宋体" w:cs="宋体"/>
                <w:color w:val="auto"/>
                <w:szCs w:val="21"/>
                <w:highlight w:val="none"/>
              </w:rPr>
              <w:t>财政性资金</w:t>
            </w:r>
          </w:p>
        </w:tc>
      </w:tr>
      <w:tr w14:paraId="20F645D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18" w:hRule="atLeast"/>
          <w:jc w:val="center"/>
        </w:trPr>
        <w:tc>
          <w:tcPr>
            <w:tcW w:w="1044" w:type="dxa"/>
            <w:vAlign w:val="center"/>
          </w:tcPr>
          <w:p w14:paraId="2F7459D5">
            <w:pPr>
              <w:jc w:val="center"/>
              <w:rPr>
                <w:rFonts w:ascii="宋体" w:hAnsi="宋体"/>
                <w:color w:val="auto"/>
                <w:szCs w:val="21"/>
                <w:highlight w:val="none"/>
              </w:rPr>
            </w:pPr>
            <w:r>
              <w:rPr>
                <w:rFonts w:ascii="宋体" w:hAnsi="宋体"/>
                <w:color w:val="auto"/>
                <w:szCs w:val="21"/>
                <w:highlight w:val="none"/>
              </w:rPr>
              <w:t>5</w:t>
            </w:r>
          </w:p>
        </w:tc>
        <w:tc>
          <w:tcPr>
            <w:tcW w:w="2533" w:type="dxa"/>
            <w:vAlign w:val="center"/>
          </w:tcPr>
          <w:p w14:paraId="1F211FF7">
            <w:pPr>
              <w:jc w:val="center"/>
              <w:rPr>
                <w:rFonts w:ascii="宋体" w:hAnsi="宋体"/>
                <w:color w:val="auto"/>
                <w:szCs w:val="21"/>
                <w:highlight w:val="none"/>
              </w:rPr>
            </w:pPr>
            <w:r>
              <w:rPr>
                <w:rFonts w:hint="eastAsia" w:ascii="宋体" w:hAnsi="宋体"/>
                <w:color w:val="auto"/>
                <w:szCs w:val="21"/>
                <w:highlight w:val="none"/>
              </w:rPr>
              <w:t>出资比例</w:t>
            </w:r>
          </w:p>
        </w:tc>
        <w:tc>
          <w:tcPr>
            <w:tcW w:w="6127" w:type="dxa"/>
            <w:vAlign w:val="center"/>
          </w:tcPr>
          <w:p w14:paraId="53C847D1">
            <w:pPr>
              <w:spacing w:line="480" w:lineRule="exact"/>
              <w:rPr>
                <w:rFonts w:ascii="宋体" w:hAnsi="宋体"/>
                <w:color w:val="auto"/>
                <w:szCs w:val="21"/>
                <w:highlight w:val="none"/>
              </w:rPr>
            </w:pPr>
            <w:r>
              <w:rPr>
                <w:rFonts w:hint="eastAsia" w:ascii="宋体" w:hAnsi="宋体"/>
                <w:color w:val="auto"/>
                <w:szCs w:val="21"/>
                <w:highlight w:val="none"/>
              </w:rPr>
              <w:t>100%</w:t>
            </w:r>
          </w:p>
        </w:tc>
      </w:tr>
      <w:tr w14:paraId="0586D15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18" w:hRule="atLeast"/>
          <w:jc w:val="center"/>
        </w:trPr>
        <w:tc>
          <w:tcPr>
            <w:tcW w:w="1044" w:type="dxa"/>
            <w:vAlign w:val="center"/>
          </w:tcPr>
          <w:p w14:paraId="71F0C9C5">
            <w:pPr>
              <w:jc w:val="center"/>
              <w:rPr>
                <w:rFonts w:ascii="宋体" w:hAnsi="宋体"/>
                <w:color w:val="auto"/>
                <w:szCs w:val="21"/>
                <w:highlight w:val="none"/>
              </w:rPr>
            </w:pPr>
            <w:r>
              <w:rPr>
                <w:rFonts w:ascii="宋体" w:hAnsi="宋体"/>
                <w:color w:val="auto"/>
                <w:szCs w:val="21"/>
                <w:highlight w:val="none"/>
              </w:rPr>
              <w:t>6</w:t>
            </w:r>
          </w:p>
        </w:tc>
        <w:tc>
          <w:tcPr>
            <w:tcW w:w="2533" w:type="dxa"/>
            <w:vAlign w:val="center"/>
          </w:tcPr>
          <w:p w14:paraId="5BB4E642">
            <w:pPr>
              <w:jc w:val="center"/>
              <w:rPr>
                <w:rFonts w:ascii="宋体" w:hAnsi="宋体"/>
                <w:color w:val="auto"/>
                <w:szCs w:val="21"/>
                <w:highlight w:val="none"/>
              </w:rPr>
            </w:pPr>
            <w:r>
              <w:rPr>
                <w:rFonts w:ascii="宋体" w:hAnsi="宋体"/>
                <w:color w:val="auto"/>
                <w:szCs w:val="21"/>
                <w:highlight w:val="none"/>
              </w:rPr>
              <w:t>资金落实情况</w:t>
            </w:r>
          </w:p>
        </w:tc>
        <w:tc>
          <w:tcPr>
            <w:tcW w:w="6127" w:type="dxa"/>
            <w:vAlign w:val="center"/>
          </w:tcPr>
          <w:p w14:paraId="7CE2B059">
            <w:pPr>
              <w:spacing w:line="480" w:lineRule="exact"/>
              <w:rPr>
                <w:rFonts w:ascii="宋体" w:hAnsi="宋体"/>
                <w:color w:val="auto"/>
                <w:szCs w:val="21"/>
                <w:highlight w:val="none"/>
              </w:rPr>
            </w:pPr>
            <w:r>
              <w:rPr>
                <w:rFonts w:hint="eastAsia" w:ascii="宋体" w:hAnsi="宋体"/>
                <w:color w:val="auto"/>
                <w:szCs w:val="21"/>
                <w:highlight w:val="none"/>
              </w:rPr>
              <w:t>已落实</w:t>
            </w:r>
          </w:p>
        </w:tc>
      </w:tr>
      <w:tr w14:paraId="648015C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7" w:hRule="atLeast"/>
          <w:jc w:val="center"/>
        </w:trPr>
        <w:tc>
          <w:tcPr>
            <w:tcW w:w="1044" w:type="dxa"/>
            <w:vAlign w:val="center"/>
          </w:tcPr>
          <w:p w14:paraId="5D9415A8">
            <w:pPr>
              <w:jc w:val="center"/>
              <w:rPr>
                <w:rFonts w:ascii="宋体" w:hAnsi="宋体"/>
                <w:color w:val="auto"/>
                <w:szCs w:val="21"/>
                <w:highlight w:val="none"/>
              </w:rPr>
            </w:pPr>
            <w:r>
              <w:rPr>
                <w:rFonts w:ascii="宋体" w:hAnsi="宋体"/>
                <w:color w:val="auto"/>
                <w:szCs w:val="21"/>
                <w:highlight w:val="none"/>
              </w:rPr>
              <w:t>7</w:t>
            </w:r>
          </w:p>
        </w:tc>
        <w:tc>
          <w:tcPr>
            <w:tcW w:w="2533" w:type="dxa"/>
            <w:vAlign w:val="center"/>
          </w:tcPr>
          <w:p w14:paraId="0EA43EC6">
            <w:pPr>
              <w:jc w:val="center"/>
              <w:rPr>
                <w:rFonts w:ascii="宋体" w:hAnsi="宋体"/>
                <w:color w:val="auto"/>
                <w:szCs w:val="21"/>
                <w:highlight w:val="none"/>
              </w:rPr>
            </w:pPr>
            <w:r>
              <w:rPr>
                <w:rFonts w:hint="eastAsia" w:ascii="宋体" w:hAnsi="宋体"/>
                <w:color w:val="auto"/>
                <w:szCs w:val="21"/>
                <w:highlight w:val="none"/>
              </w:rPr>
              <w:t>采购内容</w:t>
            </w:r>
          </w:p>
        </w:tc>
        <w:tc>
          <w:tcPr>
            <w:tcW w:w="6127" w:type="dxa"/>
            <w:vAlign w:val="center"/>
          </w:tcPr>
          <w:p w14:paraId="3E3CB0A2">
            <w:pPr>
              <w:spacing w:line="480" w:lineRule="exact"/>
              <w:rPr>
                <w:rFonts w:ascii="宋体" w:hAnsi="宋体"/>
                <w:color w:val="auto"/>
                <w:szCs w:val="21"/>
                <w:highlight w:val="none"/>
                <w:u w:val="single"/>
              </w:rPr>
            </w:pPr>
            <w:r>
              <w:rPr>
                <w:rFonts w:hint="eastAsia" w:ascii="宋体" w:hAnsi="宋体" w:cs="宋体"/>
                <w:color w:val="auto"/>
                <w:szCs w:val="21"/>
                <w:highlight w:val="none"/>
              </w:rPr>
              <w:t>完成大丰区综合立体交通网规划编制、审核等服务，具体详见招标文件采购需求。</w:t>
            </w:r>
          </w:p>
        </w:tc>
      </w:tr>
      <w:tr w14:paraId="36E6F96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1044" w:type="dxa"/>
            <w:vAlign w:val="center"/>
          </w:tcPr>
          <w:p w14:paraId="5CF8B9C7">
            <w:pPr>
              <w:jc w:val="center"/>
              <w:rPr>
                <w:rFonts w:ascii="宋体" w:hAnsi="宋体"/>
                <w:color w:val="auto"/>
                <w:szCs w:val="21"/>
                <w:highlight w:val="none"/>
              </w:rPr>
            </w:pPr>
            <w:r>
              <w:rPr>
                <w:rFonts w:ascii="宋体" w:hAnsi="宋体"/>
                <w:color w:val="auto"/>
                <w:szCs w:val="21"/>
                <w:highlight w:val="none"/>
              </w:rPr>
              <w:t>8</w:t>
            </w:r>
          </w:p>
        </w:tc>
        <w:tc>
          <w:tcPr>
            <w:tcW w:w="2533" w:type="dxa"/>
            <w:vAlign w:val="center"/>
          </w:tcPr>
          <w:p w14:paraId="1F79C1BA">
            <w:pPr>
              <w:jc w:val="center"/>
              <w:rPr>
                <w:rFonts w:ascii="宋体" w:hAnsi="宋体"/>
                <w:color w:val="auto"/>
                <w:szCs w:val="21"/>
                <w:highlight w:val="none"/>
              </w:rPr>
            </w:pPr>
            <w:r>
              <w:rPr>
                <w:rFonts w:hint="eastAsia" w:ascii="宋体" w:hAnsi="宋体"/>
                <w:color w:val="auto"/>
                <w:szCs w:val="21"/>
                <w:highlight w:val="none"/>
              </w:rPr>
              <w:t>合同履行期间</w:t>
            </w:r>
          </w:p>
        </w:tc>
        <w:tc>
          <w:tcPr>
            <w:tcW w:w="6127" w:type="dxa"/>
            <w:vAlign w:val="center"/>
          </w:tcPr>
          <w:p w14:paraId="3977FC4A">
            <w:pPr>
              <w:spacing w:line="480" w:lineRule="exact"/>
              <w:rPr>
                <w:rFonts w:ascii="宋体" w:hAnsi="宋体"/>
                <w:color w:val="auto"/>
                <w:szCs w:val="21"/>
                <w:highlight w:val="none"/>
              </w:rPr>
            </w:pPr>
            <w:r>
              <w:rPr>
                <w:rFonts w:hint="eastAsia" w:ascii="宋体" w:hAnsi="宋体"/>
                <w:color w:val="auto"/>
                <w:szCs w:val="21"/>
                <w:highlight w:val="none"/>
              </w:rPr>
              <w:t>规划编制服务期1年，</w:t>
            </w:r>
            <w:r>
              <w:rPr>
                <w:rFonts w:hint="eastAsia" w:ascii="宋体" w:hAnsi="宋体" w:cs="宋体"/>
                <w:color w:val="auto"/>
                <w:szCs w:val="21"/>
                <w:highlight w:val="none"/>
                <w:shd w:val="clear" w:color="auto" w:fill="FFFFFF"/>
              </w:rPr>
              <w:t>后续服务期</w:t>
            </w:r>
            <w:r>
              <w:rPr>
                <w:rFonts w:hint="eastAsia" w:ascii="宋体" w:hAnsi="宋体" w:cs="宋体"/>
                <w:color w:val="auto"/>
                <w:szCs w:val="21"/>
                <w:highlight w:val="none"/>
                <w:shd w:val="clear" w:color="auto" w:fill="FFFFFF"/>
                <w:lang w:val="en-US" w:eastAsia="zh-CN"/>
              </w:rPr>
              <w:t>至2035年。</w:t>
            </w:r>
          </w:p>
        </w:tc>
      </w:tr>
      <w:tr w14:paraId="43B8A94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1044" w:type="dxa"/>
            <w:vAlign w:val="center"/>
          </w:tcPr>
          <w:p w14:paraId="43D224E8">
            <w:pPr>
              <w:jc w:val="center"/>
              <w:rPr>
                <w:rFonts w:ascii="宋体" w:hAnsi="宋体"/>
                <w:color w:val="auto"/>
                <w:szCs w:val="21"/>
                <w:highlight w:val="none"/>
              </w:rPr>
            </w:pPr>
            <w:r>
              <w:rPr>
                <w:rFonts w:ascii="宋体" w:hAnsi="宋体"/>
                <w:color w:val="auto"/>
                <w:szCs w:val="21"/>
                <w:highlight w:val="none"/>
              </w:rPr>
              <w:t>9</w:t>
            </w:r>
          </w:p>
        </w:tc>
        <w:tc>
          <w:tcPr>
            <w:tcW w:w="2533" w:type="dxa"/>
            <w:vAlign w:val="center"/>
          </w:tcPr>
          <w:p w14:paraId="2AA61DC9">
            <w:pPr>
              <w:jc w:val="center"/>
              <w:rPr>
                <w:rFonts w:ascii="宋体" w:hAnsi="宋体"/>
                <w:color w:val="auto"/>
                <w:szCs w:val="21"/>
                <w:highlight w:val="none"/>
              </w:rPr>
            </w:pPr>
            <w:r>
              <w:rPr>
                <w:rFonts w:ascii="宋体" w:hAnsi="宋体"/>
                <w:color w:val="auto"/>
                <w:szCs w:val="21"/>
                <w:highlight w:val="none"/>
              </w:rPr>
              <w:t>服务地点</w:t>
            </w:r>
          </w:p>
        </w:tc>
        <w:tc>
          <w:tcPr>
            <w:tcW w:w="6127" w:type="dxa"/>
            <w:vAlign w:val="center"/>
          </w:tcPr>
          <w:p w14:paraId="79ED5B04">
            <w:pPr>
              <w:spacing w:line="480" w:lineRule="exact"/>
              <w:rPr>
                <w:rFonts w:ascii="宋体" w:hAnsi="宋体"/>
                <w:color w:val="auto"/>
                <w:szCs w:val="21"/>
                <w:highlight w:val="none"/>
              </w:rPr>
            </w:pPr>
            <w:r>
              <w:rPr>
                <w:rFonts w:hint="eastAsia" w:ascii="宋体" w:hAnsi="宋体"/>
                <w:color w:val="auto"/>
                <w:szCs w:val="21"/>
                <w:highlight w:val="none"/>
              </w:rPr>
              <w:t>采购人指定地点</w:t>
            </w:r>
          </w:p>
        </w:tc>
      </w:tr>
      <w:tr w14:paraId="74B16A5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26" w:hRule="atLeast"/>
          <w:jc w:val="center"/>
        </w:trPr>
        <w:tc>
          <w:tcPr>
            <w:tcW w:w="1044" w:type="dxa"/>
            <w:vAlign w:val="center"/>
          </w:tcPr>
          <w:p w14:paraId="1490D527">
            <w:pPr>
              <w:jc w:val="center"/>
              <w:rPr>
                <w:rFonts w:ascii="宋体" w:hAnsi="宋体"/>
                <w:color w:val="auto"/>
                <w:szCs w:val="21"/>
                <w:highlight w:val="none"/>
              </w:rPr>
            </w:pPr>
            <w:r>
              <w:rPr>
                <w:rFonts w:ascii="宋体" w:hAnsi="宋体"/>
                <w:color w:val="auto"/>
                <w:szCs w:val="21"/>
                <w:highlight w:val="none"/>
              </w:rPr>
              <w:t>10</w:t>
            </w:r>
          </w:p>
        </w:tc>
        <w:tc>
          <w:tcPr>
            <w:tcW w:w="2533" w:type="dxa"/>
            <w:vAlign w:val="center"/>
          </w:tcPr>
          <w:p w14:paraId="03EF0A4B">
            <w:pPr>
              <w:jc w:val="center"/>
              <w:rPr>
                <w:rFonts w:ascii="宋体" w:hAnsi="宋体"/>
                <w:color w:val="auto"/>
                <w:szCs w:val="21"/>
                <w:highlight w:val="none"/>
              </w:rPr>
            </w:pPr>
            <w:r>
              <w:rPr>
                <w:rFonts w:ascii="宋体" w:hAnsi="宋体"/>
                <w:color w:val="auto"/>
                <w:szCs w:val="21"/>
                <w:highlight w:val="none"/>
              </w:rPr>
              <w:t>质量</w:t>
            </w:r>
            <w:r>
              <w:rPr>
                <w:rFonts w:hint="eastAsia" w:ascii="宋体" w:hAnsi="宋体"/>
                <w:color w:val="auto"/>
                <w:szCs w:val="21"/>
                <w:highlight w:val="none"/>
              </w:rPr>
              <w:t>要求及</w:t>
            </w:r>
            <w:r>
              <w:rPr>
                <w:rFonts w:hint="eastAsia" w:ascii="宋体" w:hAnsi="宋体" w:cs="宋体"/>
                <w:bCs/>
                <w:color w:val="auto"/>
                <w:kern w:val="2"/>
                <w:szCs w:val="21"/>
                <w:highlight w:val="none"/>
              </w:rPr>
              <w:t>研究报告的验收、评价方式</w:t>
            </w:r>
          </w:p>
        </w:tc>
        <w:tc>
          <w:tcPr>
            <w:tcW w:w="6127" w:type="dxa"/>
            <w:vAlign w:val="center"/>
          </w:tcPr>
          <w:p w14:paraId="4C0124DD">
            <w:pPr>
              <w:spacing w:line="480" w:lineRule="exact"/>
              <w:contextualSpacing/>
              <w:rPr>
                <w:rFonts w:ascii="宋体" w:hAnsi="宋体"/>
                <w:color w:val="auto"/>
                <w:szCs w:val="21"/>
                <w:highlight w:val="none"/>
              </w:rPr>
            </w:pPr>
            <w:r>
              <w:rPr>
                <w:rFonts w:hint="eastAsia" w:ascii="宋体" w:hAnsi="宋体"/>
                <w:color w:val="auto"/>
                <w:szCs w:val="21"/>
                <w:highlight w:val="none"/>
              </w:rPr>
              <w:t>质量要求：符合国家、省主管部门相关标准。</w:t>
            </w:r>
          </w:p>
          <w:p w14:paraId="21337DED">
            <w:pPr>
              <w:spacing w:line="480" w:lineRule="exact"/>
              <w:rPr>
                <w:rFonts w:ascii="宋体" w:hAnsi="宋体"/>
                <w:color w:val="auto"/>
                <w:szCs w:val="21"/>
                <w:highlight w:val="none"/>
              </w:rPr>
            </w:pPr>
            <w:r>
              <w:rPr>
                <w:rFonts w:hint="eastAsia" w:ascii="宋体" w:hAnsi="宋体"/>
                <w:color w:val="auto"/>
                <w:szCs w:val="21"/>
                <w:highlight w:val="none"/>
              </w:rPr>
              <w:t>国家或行业最新标准、招标文件各项技术要求、投标文件投标承诺所达到的各项技术要求（招标文件、投标文件、国家或行业标准不一致处以最高标准执行）</w:t>
            </w:r>
          </w:p>
          <w:p w14:paraId="10195C63">
            <w:pPr>
              <w:spacing w:line="480" w:lineRule="exact"/>
              <w:rPr>
                <w:rFonts w:hint="eastAsia" w:ascii="宋体" w:hAnsi="宋体"/>
                <w:color w:val="auto"/>
                <w:szCs w:val="21"/>
                <w:highlight w:val="none"/>
              </w:rPr>
            </w:pPr>
            <w:r>
              <w:rPr>
                <w:rFonts w:hint="eastAsia" w:ascii="宋体" w:hAnsi="宋体"/>
                <w:color w:val="auto"/>
                <w:szCs w:val="21"/>
                <w:highlight w:val="none"/>
              </w:rPr>
              <w:t>研究报告的验收、评价方式：</w:t>
            </w:r>
          </w:p>
          <w:p w14:paraId="429E33B8">
            <w:pPr>
              <w:spacing w:line="480" w:lineRule="exact"/>
              <w:rPr>
                <w:rFonts w:hint="eastAsia" w:ascii="宋体" w:hAnsi="宋体"/>
                <w:color w:val="auto"/>
                <w:szCs w:val="21"/>
                <w:highlight w:val="none"/>
              </w:rPr>
            </w:pPr>
            <w:r>
              <w:rPr>
                <w:rFonts w:hint="eastAsia" w:ascii="宋体" w:hAnsi="宋体"/>
                <w:color w:val="auto"/>
                <w:szCs w:val="21"/>
                <w:highlight w:val="none"/>
              </w:rPr>
              <w:t>研究报告的验收由招标人聘请行业专家，按照有关规定的形式和程序，对报告进行审查和评价，并作出相应的结论。</w:t>
            </w:r>
          </w:p>
          <w:p w14:paraId="03407631">
            <w:pPr>
              <w:spacing w:line="480" w:lineRule="exact"/>
              <w:rPr>
                <w:color w:val="auto"/>
                <w:highlight w:val="none"/>
              </w:rPr>
            </w:pPr>
            <w:r>
              <w:rPr>
                <w:rFonts w:hint="eastAsia" w:ascii="宋体" w:hAnsi="宋体"/>
                <w:color w:val="auto"/>
                <w:szCs w:val="21"/>
                <w:highlight w:val="none"/>
              </w:rPr>
              <w:t>中标人须协助招标人完成报告或后续文件的各阶段评审以及报审、报批等工作，报告或后续文件须通过有关部门的审查。</w:t>
            </w:r>
          </w:p>
        </w:tc>
      </w:tr>
      <w:tr w14:paraId="5994397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67" w:hRule="atLeast"/>
          <w:jc w:val="center"/>
        </w:trPr>
        <w:tc>
          <w:tcPr>
            <w:tcW w:w="1044" w:type="dxa"/>
            <w:vAlign w:val="center"/>
          </w:tcPr>
          <w:p w14:paraId="734E659D">
            <w:pPr>
              <w:jc w:val="center"/>
              <w:rPr>
                <w:rFonts w:ascii="宋体" w:hAnsi="宋体"/>
                <w:color w:val="auto"/>
                <w:szCs w:val="21"/>
                <w:highlight w:val="none"/>
              </w:rPr>
            </w:pPr>
            <w:r>
              <w:rPr>
                <w:rFonts w:ascii="宋体" w:hAnsi="宋体"/>
                <w:color w:val="auto"/>
                <w:szCs w:val="21"/>
                <w:highlight w:val="none"/>
              </w:rPr>
              <w:t>11</w:t>
            </w:r>
          </w:p>
        </w:tc>
        <w:tc>
          <w:tcPr>
            <w:tcW w:w="2533" w:type="dxa"/>
            <w:vAlign w:val="center"/>
          </w:tcPr>
          <w:p w14:paraId="49CB2CDF">
            <w:pPr>
              <w:jc w:val="center"/>
              <w:rPr>
                <w:rFonts w:ascii="宋体" w:hAnsi="宋体"/>
                <w:color w:val="auto"/>
                <w:szCs w:val="21"/>
                <w:highlight w:val="none"/>
              </w:rPr>
            </w:pPr>
            <w:r>
              <w:rPr>
                <w:rFonts w:ascii="宋体" w:hAnsi="宋体"/>
                <w:color w:val="auto"/>
                <w:szCs w:val="21"/>
                <w:highlight w:val="none"/>
              </w:rPr>
              <w:t>投标人资格要求</w:t>
            </w:r>
          </w:p>
        </w:tc>
        <w:tc>
          <w:tcPr>
            <w:tcW w:w="6127" w:type="dxa"/>
            <w:vAlign w:val="center"/>
          </w:tcPr>
          <w:p w14:paraId="4402E4E2">
            <w:pPr>
              <w:spacing w:line="480" w:lineRule="exact"/>
              <w:rPr>
                <w:rFonts w:ascii="宋体" w:hAnsi="宋体"/>
                <w:color w:val="auto"/>
                <w:szCs w:val="21"/>
                <w:highlight w:val="none"/>
              </w:rPr>
            </w:pPr>
            <w:r>
              <w:rPr>
                <w:rFonts w:hint="eastAsia" w:ascii="宋体" w:hAnsi="宋体"/>
                <w:color w:val="auto"/>
                <w:szCs w:val="21"/>
                <w:highlight w:val="none"/>
              </w:rPr>
              <w:t>见招标公告</w:t>
            </w:r>
          </w:p>
        </w:tc>
      </w:tr>
      <w:tr w14:paraId="1D03E76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38" w:hRule="atLeast"/>
          <w:jc w:val="center"/>
        </w:trPr>
        <w:tc>
          <w:tcPr>
            <w:tcW w:w="1044" w:type="dxa"/>
            <w:vAlign w:val="center"/>
          </w:tcPr>
          <w:p w14:paraId="09F127D5">
            <w:pPr>
              <w:jc w:val="center"/>
              <w:rPr>
                <w:rFonts w:ascii="宋体" w:hAnsi="宋体"/>
                <w:color w:val="auto"/>
                <w:szCs w:val="21"/>
                <w:highlight w:val="none"/>
              </w:rPr>
            </w:pPr>
            <w:r>
              <w:rPr>
                <w:rFonts w:ascii="宋体" w:hAnsi="宋体"/>
                <w:color w:val="auto"/>
                <w:szCs w:val="21"/>
                <w:highlight w:val="none"/>
              </w:rPr>
              <w:t>12</w:t>
            </w:r>
          </w:p>
        </w:tc>
        <w:tc>
          <w:tcPr>
            <w:tcW w:w="2533" w:type="dxa"/>
            <w:vAlign w:val="center"/>
          </w:tcPr>
          <w:p w14:paraId="30F5D15B">
            <w:pPr>
              <w:jc w:val="center"/>
              <w:rPr>
                <w:rFonts w:ascii="宋体" w:hAnsi="宋体"/>
                <w:color w:val="auto"/>
                <w:szCs w:val="21"/>
                <w:highlight w:val="none"/>
              </w:rPr>
            </w:pPr>
            <w:r>
              <w:rPr>
                <w:rFonts w:ascii="宋体" w:hAnsi="宋体"/>
                <w:color w:val="auto"/>
                <w:szCs w:val="21"/>
                <w:highlight w:val="none"/>
              </w:rPr>
              <w:t>是否接受联合体投标</w:t>
            </w:r>
          </w:p>
        </w:tc>
        <w:tc>
          <w:tcPr>
            <w:tcW w:w="6127" w:type="dxa"/>
            <w:vAlign w:val="center"/>
          </w:tcPr>
          <w:p w14:paraId="6947F8C3">
            <w:pPr>
              <w:spacing w:line="480" w:lineRule="exact"/>
              <w:rPr>
                <w:rFonts w:ascii="宋体" w:hAnsi="宋体"/>
                <w:color w:val="auto"/>
                <w:szCs w:val="21"/>
                <w:highlight w:val="none"/>
              </w:rPr>
            </w:pPr>
            <w:r>
              <w:rPr>
                <w:rFonts w:hint="eastAsia" w:ascii="宋体" w:hAnsi="宋体"/>
                <w:color w:val="auto"/>
                <w:szCs w:val="21"/>
                <w:highlight w:val="none"/>
              </w:rPr>
              <w:t>不接受，具体要求详见采购公告</w:t>
            </w:r>
          </w:p>
        </w:tc>
      </w:tr>
      <w:tr w14:paraId="23B1478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44" w:hRule="atLeast"/>
          <w:jc w:val="center"/>
        </w:trPr>
        <w:tc>
          <w:tcPr>
            <w:tcW w:w="1044" w:type="dxa"/>
            <w:vAlign w:val="center"/>
          </w:tcPr>
          <w:p w14:paraId="5A190175">
            <w:pPr>
              <w:jc w:val="center"/>
              <w:rPr>
                <w:rFonts w:ascii="宋体" w:hAnsi="宋体"/>
                <w:color w:val="auto"/>
                <w:szCs w:val="21"/>
                <w:highlight w:val="none"/>
              </w:rPr>
            </w:pPr>
            <w:r>
              <w:rPr>
                <w:rFonts w:ascii="宋体" w:hAnsi="宋体"/>
                <w:color w:val="auto"/>
                <w:szCs w:val="21"/>
                <w:highlight w:val="none"/>
              </w:rPr>
              <w:t>13</w:t>
            </w:r>
          </w:p>
        </w:tc>
        <w:tc>
          <w:tcPr>
            <w:tcW w:w="2533" w:type="dxa"/>
            <w:vAlign w:val="center"/>
          </w:tcPr>
          <w:p w14:paraId="14A559FB">
            <w:pPr>
              <w:jc w:val="center"/>
              <w:rPr>
                <w:rFonts w:ascii="宋体" w:hAnsi="宋体"/>
                <w:b/>
                <w:color w:val="auto"/>
                <w:szCs w:val="21"/>
                <w:highlight w:val="none"/>
              </w:rPr>
            </w:pPr>
            <w:r>
              <w:rPr>
                <w:rFonts w:hint="eastAsia" w:ascii="宋体" w:hAnsi="宋体" w:cs="宋体"/>
                <w:color w:val="auto"/>
                <w:szCs w:val="21"/>
                <w:highlight w:val="none"/>
              </w:rPr>
              <w:t>踏勘现场</w:t>
            </w:r>
          </w:p>
        </w:tc>
        <w:tc>
          <w:tcPr>
            <w:tcW w:w="6127" w:type="dxa"/>
            <w:vAlign w:val="center"/>
          </w:tcPr>
          <w:p w14:paraId="2AD7E48A">
            <w:pPr>
              <w:spacing w:line="480" w:lineRule="exact"/>
              <w:rPr>
                <w:rFonts w:ascii="宋体" w:hAnsi="宋体"/>
                <w:b/>
                <w:color w:val="auto"/>
                <w:szCs w:val="21"/>
                <w:highlight w:val="none"/>
                <w:u w:val="single"/>
              </w:rPr>
            </w:pPr>
            <w:r>
              <w:rPr>
                <w:rFonts w:hint="eastAsia" w:ascii="宋体" w:hAnsi="宋体"/>
                <w:color w:val="auto"/>
                <w:szCs w:val="21"/>
                <w:highlight w:val="none"/>
              </w:rPr>
              <w:t xml:space="preserve">由意向投标人自行组织，充分了解实际使用环境及特点。 </w:t>
            </w:r>
            <w:r>
              <w:rPr>
                <w:rFonts w:hint="eastAsia" w:ascii="宋体" w:hAnsi="宋体" w:cs="宋体"/>
                <w:color w:val="auto"/>
                <w:szCs w:val="21"/>
                <w:highlight w:val="none"/>
              </w:rPr>
              <w:t xml:space="preserve">   </w:t>
            </w:r>
          </w:p>
        </w:tc>
      </w:tr>
      <w:tr w14:paraId="57D203D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7" w:hRule="atLeast"/>
          <w:jc w:val="center"/>
        </w:trPr>
        <w:tc>
          <w:tcPr>
            <w:tcW w:w="1044" w:type="dxa"/>
            <w:vAlign w:val="center"/>
          </w:tcPr>
          <w:p w14:paraId="1D6CD5AD">
            <w:pPr>
              <w:jc w:val="center"/>
              <w:rPr>
                <w:rFonts w:ascii="宋体" w:hAnsi="宋体"/>
                <w:color w:val="auto"/>
                <w:szCs w:val="21"/>
                <w:highlight w:val="none"/>
              </w:rPr>
            </w:pPr>
            <w:r>
              <w:rPr>
                <w:rFonts w:ascii="宋体" w:hAnsi="宋体"/>
                <w:color w:val="auto"/>
                <w:szCs w:val="21"/>
                <w:highlight w:val="none"/>
              </w:rPr>
              <w:t>14</w:t>
            </w:r>
          </w:p>
        </w:tc>
        <w:tc>
          <w:tcPr>
            <w:tcW w:w="2533" w:type="dxa"/>
            <w:vAlign w:val="center"/>
          </w:tcPr>
          <w:p w14:paraId="4DC9AA6F">
            <w:pPr>
              <w:jc w:val="center"/>
              <w:rPr>
                <w:rFonts w:ascii="宋体" w:hAnsi="宋体"/>
                <w:color w:val="auto"/>
                <w:szCs w:val="21"/>
                <w:highlight w:val="none"/>
              </w:rPr>
            </w:pPr>
            <w:r>
              <w:rPr>
                <w:rFonts w:ascii="宋体" w:hAnsi="宋体"/>
                <w:color w:val="auto"/>
                <w:szCs w:val="21"/>
                <w:highlight w:val="none"/>
              </w:rPr>
              <w:t>投标预备会</w:t>
            </w:r>
          </w:p>
        </w:tc>
        <w:tc>
          <w:tcPr>
            <w:tcW w:w="6127" w:type="dxa"/>
            <w:vAlign w:val="center"/>
          </w:tcPr>
          <w:p w14:paraId="20488A17">
            <w:pPr>
              <w:spacing w:line="480" w:lineRule="exact"/>
              <w:rPr>
                <w:rFonts w:ascii="宋体" w:hAnsi="宋体"/>
                <w:color w:val="auto"/>
                <w:szCs w:val="21"/>
                <w:highlight w:val="none"/>
              </w:rPr>
            </w:pPr>
            <w:r>
              <w:rPr>
                <w:rFonts w:ascii="宋体" w:hAnsi="宋体"/>
                <w:color w:val="auto"/>
                <w:szCs w:val="21"/>
                <w:highlight w:val="none"/>
              </w:rPr>
              <w:fldChar w:fldCharType="begin"/>
            </w:r>
            <w:r>
              <w:rPr>
                <w:rFonts w:ascii="宋体" w:hAnsi="宋体"/>
                <w:color w:val="auto"/>
                <w:szCs w:val="21"/>
                <w:highlight w:val="none"/>
              </w:rPr>
              <w:instrText xml:space="preserve"> </w:instrText>
            </w:r>
            <w:r>
              <w:rPr>
                <w:rFonts w:hint="eastAsia" w:ascii="宋体" w:hAnsi="宋体"/>
                <w:color w:val="auto"/>
                <w:szCs w:val="21"/>
                <w:highlight w:val="none"/>
              </w:rPr>
              <w:instrText xml:space="preserve">eq \o\ac(□,</w:instrText>
            </w:r>
            <w:r>
              <w:rPr>
                <w:rFonts w:hint="eastAsia" w:ascii="宋体" w:hAnsi="宋体"/>
                <w:color w:val="auto"/>
                <w:position w:val="2"/>
                <w:szCs w:val="21"/>
                <w:highlight w:val="none"/>
              </w:rPr>
              <w:instrText xml:space="preserve">√</w:instrText>
            </w:r>
            <w:r>
              <w:rPr>
                <w:rFonts w:hint="eastAsia" w:ascii="宋体" w:hAnsi="宋体"/>
                <w:color w:val="auto"/>
                <w:szCs w:val="21"/>
                <w:highlight w:val="none"/>
              </w:rPr>
              <w:instrText xml:space="preserve">)</w:instrText>
            </w:r>
            <w:r>
              <w:rPr>
                <w:rFonts w:ascii="宋体" w:hAnsi="宋体"/>
                <w:color w:val="auto"/>
                <w:szCs w:val="21"/>
                <w:highlight w:val="none"/>
              </w:rPr>
              <w:fldChar w:fldCharType="end"/>
            </w:r>
            <w:r>
              <w:rPr>
                <w:rFonts w:ascii="宋体" w:hAnsi="宋体"/>
                <w:color w:val="auto"/>
                <w:szCs w:val="21"/>
                <w:highlight w:val="none"/>
              </w:rPr>
              <w:t>不召开</w:t>
            </w:r>
          </w:p>
        </w:tc>
      </w:tr>
      <w:tr w14:paraId="711F1E5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7" w:hRule="atLeast"/>
          <w:jc w:val="center"/>
        </w:trPr>
        <w:tc>
          <w:tcPr>
            <w:tcW w:w="1044" w:type="dxa"/>
            <w:vAlign w:val="center"/>
          </w:tcPr>
          <w:p w14:paraId="4ADE6DA1">
            <w:pPr>
              <w:jc w:val="center"/>
              <w:rPr>
                <w:rFonts w:ascii="宋体" w:hAnsi="宋体"/>
                <w:color w:val="auto"/>
                <w:szCs w:val="21"/>
                <w:highlight w:val="none"/>
              </w:rPr>
            </w:pPr>
            <w:r>
              <w:rPr>
                <w:rFonts w:ascii="宋体" w:hAnsi="宋体"/>
                <w:color w:val="auto"/>
                <w:szCs w:val="21"/>
                <w:highlight w:val="none"/>
              </w:rPr>
              <w:t>15</w:t>
            </w:r>
          </w:p>
        </w:tc>
        <w:tc>
          <w:tcPr>
            <w:tcW w:w="2533" w:type="dxa"/>
            <w:vAlign w:val="center"/>
          </w:tcPr>
          <w:p w14:paraId="303D780B">
            <w:pPr>
              <w:jc w:val="center"/>
              <w:rPr>
                <w:rFonts w:ascii="宋体" w:hAnsi="宋体"/>
                <w:color w:val="auto"/>
                <w:szCs w:val="21"/>
                <w:highlight w:val="none"/>
              </w:rPr>
            </w:pPr>
            <w:r>
              <w:rPr>
                <w:rFonts w:ascii="宋体" w:hAnsi="宋体"/>
                <w:color w:val="auto"/>
                <w:szCs w:val="21"/>
                <w:highlight w:val="none"/>
              </w:rPr>
              <w:t>偏离</w:t>
            </w:r>
          </w:p>
        </w:tc>
        <w:tc>
          <w:tcPr>
            <w:tcW w:w="6127" w:type="dxa"/>
            <w:vAlign w:val="center"/>
          </w:tcPr>
          <w:p w14:paraId="61773D09">
            <w:pPr>
              <w:spacing w:line="480" w:lineRule="exact"/>
              <w:rPr>
                <w:rFonts w:ascii="宋体" w:hAnsi="宋体"/>
                <w:color w:val="auto"/>
                <w:szCs w:val="21"/>
                <w:highlight w:val="none"/>
              </w:rPr>
            </w:pPr>
            <w:r>
              <w:rPr>
                <w:rFonts w:hint="eastAsia" w:ascii="宋体" w:hAnsi="宋体"/>
                <w:color w:val="auto"/>
                <w:szCs w:val="21"/>
                <w:highlight w:val="none"/>
              </w:rPr>
              <w:t>详见招标文件相关条款。</w:t>
            </w:r>
          </w:p>
        </w:tc>
      </w:tr>
      <w:tr w14:paraId="18EFFBB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7" w:hRule="atLeast"/>
          <w:jc w:val="center"/>
        </w:trPr>
        <w:tc>
          <w:tcPr>
            <w:tcW w:w="1044" w:type="dxa"/>
            <w:vAlign w:val="center"/>
          </w:tcPr>
          <w:p w14:paraId="0E77DC43">
            <w:pPr>
              <w:jc w:val="center"/>
              <w:rPr>
                <w:rFonts w:ascii="宋体" w:hAnsi="宋体" w:cs="宋体"/>
                <w:color w:val="auto"/>
                <w:szCs w:val="21"/>
                <w:highlight w:val="none"/>
              </w:rPr>
            </w:pPr>
            <w:r>
              <w:rPr>
                <w:rFonts w:ascii="宋体" w:hAnsi="宋体"/>
                <w:color w:val="auto"/>
                <w:szCs w:val="21"/>
                <w:highlight w:val="none"/>
              </w:rPr>
              <w:t>16</w:t>
            </w:r>
          </w:p>
        </w:tc>
        <w:tc>
          <w:tcPr>
            <w:tcW w:w="2533" w:type="dxa"/>
            <w:vAlign w:val="center"/>
          </w:tcPr>
          <w:p w14:paraId="207D74A3">
            <w:pPr>
              <w:jc w:val="center"/>
              <w:rPr>
                <w:rFonts w:ascii="宋体" w:hAnsi="宋体" w:cs="宋体"/>
                <w:color w:val="auto"/>
                <w:szCs w:val="21"/>
                <w:highlight w:val="none"/>
              </w:rPr>
            </w:pPr>
            <w:r>
              <w:rPr>
                <w:rFonts w:hint="eastAsia" w:ascii="宋体" w:hAnsi="宋体" w:cs="宋体"/>
                <w:color w:val="auto"/>
                <w:szCs w:val="21"/>
                <w:highlight w:val="none"/>
              </w:rPr>
              <w:t>构成招标文件的其它材料</w:t>
            </w:r>
          </w:p>
        </w:tc>
        <w:tc>
          <w:tcPr>
            <w:tcW w:w="6127" w:type="dxa"/>
            <w:vAlign w:val="center"/>
          </w:tcPr>
          <w:p w14:paraId="5E804603">
            <w:pPr>
              <w:spacing w:line="480" w:lineRule="exact"/>
              <w:rPr>
                <w:rFonts w:ascii="宋体" w:hAnsi="宋体" w:cs="宋体"/>
                <w:color w:val="auto"/>
                <w:szCs w:val="21"/>
                <w:highlight w:val="none"/>
              </w:rPr>
            </w:pPr>
            <w:r>
              <w:rPr>
                <w:rFonts w:hint="eastAsia" w:ascii="宋体" w:hAnsi="宋体" w:cs="宋体"/>
                <w:color w:val="auto"/>
                <w:szCs w:val="21"/>
                <w:highlight w:val="none"/>
              </w:rPr>
              <w:t>无</w:t>
            </w:r>
          </w:p>
        </w:tc>
      </w:tr>
      <w:tr w14:paraId="4135EC5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06" w:hRule="atLeast"/>
          <w:jc w:val="center"/>
        </w:trPr>
        <w:tc>
          <w:tcPr>
            <w:tcW w:w="1044" w:type="dxa"/>
            <w:vAlign w:val="center"/>
          </w:tcPr>
          <w:p w14:paraId="39C899D3">
            <w:pPr>
              <w:jc w:val="center"/>
              <w:rPr>
                <w:rFonts w:ascii="宋体" w:hAnsi="宋体"/>
                <w:color w:val="auto"/>
                <w:szCs w:val="21"/>
                <w:highlight w:val="none"/>
              </w:rPr>
            </w:pPr>
            <w:r>
              <w:rPr>
                <w:rFonts w:ascii="宋体" w:hAnsi="宋体"/>
                <w:color w:val="auto"/>
                <w:szCs w:val="21"/>
                <w:highlight w:val="none"/>
              </w:rPr>
              <w:t>17</w:t>
            </w:r>
          </w:p>
        </w:tc>
        <w:tc>
          <w:tcPr>
            <w:tcW w:w="2533" w:type="dxa"/>
            <w:vAlign w:val="center"/>
          </w:tcPr>
          <w:p w14:paraId="6163CD79">
            <w:pPr>
              <w:jc w:val="center"/>
              <w:rPr>
                <w:rFonts w:ascii="宋体" w:hAnsi="宋体"/>
                <w:color w:val="auto"/>
                <w:szCs w:val="21"/>
                <w:highlight w:val="none"/>
              </w:rPr>
            </w:pPr>
            <w:r>
              <w:rPr>
                <w:rFonts w:hint="eastAsia" w:ascii="宋体" w:hAnsi="宋体"/>
                <w:color w:val="auto"/>
                <w:szCs w:val="21"/>
                <w:highlight w:val="none"/>
              </w:rPr>
              <w:t>招标人要求澄清招标文件截止时间</w:t>
            </w:r>
          </w:p>
        </w:tc>
        <w:tc>
          <w:tcPr>
            <w:tcW w:w="6127" w:type="dxa"/>
            <w:vAlign w:val="center"/>
          </w:tcPr>
          <w:p w14:paraId="6E908BD9">
            <w:pPr>
              <w:spacing w:line="480" w:lineRule="exact"/>
              <w:rPr>
                <w:rFonts w:ascii="宋体" w:hAnsi="宋体"/>
                <w:color w:val="auto"/>
                <w:szCs w:val="21"/>
                <w:highlight w:val="none"/>
              </w:rPr>
            </w:pPr>
            <w:r>
              <w:rPr>
                <w:rFonts w:hint="eastAsia" w:ascii="宋体" w:hAnsi="宋体"/>
                <w:color w:val="auto"/>
                <w:szCs w:val="21"/>
                <w:highlight w:val="none"/>
              </w:rPr>
              <w:t>2</w:t>
            </w:r>
            <w:r>
              <w:rPr>
                <w:rFonts w:ascii="宋体" w:hAnsi="宋体"/>
                <w:color w:val="auto"/>
                <w:szCs w:val="21"/>
                <w:highlight w:val="none"/>
              </w:rPr>
              <w:t>025</w:t>
            </w:r>
            <w:r>
              <w:rPr>
                <w:rFonts w:hint="eastAsia" w:ascii="宋体" w:hAnsi="宋体"/>
                <w:color w:val="auto"/>
                <w:szCs w:val="21"/>
                <w:highlight w:val="none"/>
              </w:rPr>
              <w:t>年</w:t>
            </w:r>
            <w:r>
              <w:rPr>
                <w:rFonts w:hint="eastAsia" w:ascii="宋体" w:hAnsi="宋体"/>
                <w:color w:val="auto"/>
                <w:szCs w:val="21"/>
                <w:highlight w:val="none"/>
                <w:lang w:val="en-US" w:eastAsia="zh-CN"/>
              </w:rPr>
              <w:t>11</w:t>
            </w:r>
            <w:r>
              <w:rPr>
                <w:rFonts w:hint="eastAsia" w:ascii="宋体" w:hAnsi="宋体"/>
                <w:color w:val="auto"/>
                <w:szCs w:val="21"/>
                <w:highlight w:val="none"/>
              </w:rPr>
              <w:t>月</w:t>
            </w:r>
            <w:r>
              <w:rPr>
                <w:rFonts w:hint="eastAsia" w:ascii="宋体" w:hAnsi="宋体"/>
                <w:color w:val="auto"/>
                <w:szCs w:val="21"/>
                <w:highlight w:val="none"/>
                <w:u w:val="single"/>
              </w:rPr>
              <w:t xml:space="preserve"> </w:t>
            </w:r>
            <w:r>
              <w:rPr>
                <w:rFonts w:hint="eastAsia" w:ascii="宋体" w:hAnsi="宋体"/>
                <w:color w:val="auto"/>
                <w:szCs w:val="21"/>
                <w:highlight w:val="none"/>
                <w:u w:val="single"/>
                <w:lang w:val="en-US" w:eastAsia="zh-CN"/>
              </w:rPr>
              <w:t>19</w:t>
            </w:r>
            <w:r>
              <w:rPr>
                <w:rFonts w:hint="eastAsia" w:ascii="宋体" w:hAnsi="宋体"/>
                <w:color w:val="auto"/>
                <w:szCs w:val="21"/>
                <w:highlight w:val="none"/>
                <w:u w:val="single"/>
              </w:rPr>
              <w:t xml:space="preserve"> </w:t>
            </w:r>
            <w:r>
              <w:rPr>
                <w:rFonts w:hint="eastAsia" w:ascii="宋体" w:hAnsi="宋体"/>
                <w:color w:val="auto"/>
                <w:szCs w:val="21"/>
                <w:highlight w:val="none"/>
              </w:rPr>
              <w:t>日1</w:t>
            </w:r>
            <w:r>
              <w:rPr>
                <w:rFonts w:ascii="宋体" w:hAnsi="宋体"/>
                <w:color w:val="auto"/>
                <w:szCs w:val="21"/>
                <w:highlight w:val="none"/>
              </w:rPr>
              <w:t>8</w:t>
            </w:r>
            <w:r>
              <w:rPr>
                <w:rFonts w:hint="eastAsia" w:ascii="宋体" w:hAnsi="宋体"/>
                <w:color w:val="auto"/>
                <w:szCs w:val="21"/>
                <w:highlight w:val="none"/>
              </w:rPr>
              <w:t>时前，邮箱：346499624@qq.com</w:t>
            </w:r>
          </w:p>
        </w:tc>
      </w:tr>
      <w:tr w14:paraId="299F3A0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48" w:hRule="atLeast"/>
          <w:jc w:val="center"/>
        </w:trPr>
        <w:tc>
          <w:tcPr>
            <w:tcW w:w="1044" w:type="dxa"/>
            <w:vAlign w:val="center"/>
          </w:tcPr>
          <w:p w14:paraId="7D116D89">
            <w:pPr>
              <w:jc w:val="center"/>
              <w:rPr>
                <w:rFonts w:ascii="宋体" w:hAnsi="宋体"/>
                <w:color w:val="auto"/>
                <w:szCs w:val="21"/>
                <w:highlight w:val="none"/>
              </w:rPr>
            </w:pPr>
            <w:r>
              <w:rPr>
                <w:rFonts w:ascii="宋体" w:hAnsi="宋体"/>
                <w:color w:val="auto"/>
                <w:szCs w:val="21"/>
                <w:highlight w:val="none"/>
              </w:rPr>
              <w:t>18</w:t>
            </w:r>
          </w:p>
        </w:tc>
        <w:tc>
          <w:tcPr>
            <w:tcW w:w="2533" w:type="dxa"/>
            <w:vAlign w:val="center"/>
          </w:tcPr>
          <w:p w14:paraId="05EBF703">
            <w:pPr>
              <w:jc w:val="center"/>
              <w:rPr>
                <w:rFonts w:ascii="宋体" w:hAnsi="宋体"/>
                <w:color w:val="auto"/>
                <w:szCs w:val="21"/>
                <w:highlight w:val="none"/>
              </w:rPr>
            </w:pPr>
            <w:r>
              <w:rPr>
                <w:rFonts w:ascii="宋体" w:hAnsi="宋体"/>
                <w:color w:val="auto"/>
                <w:szCs w:val="21"/>
                <w:highlight w:val="none"/>
              </w:rPr>
              <w:t>投标人确认收到招标文件澄清</w:t>
            </w:r>
            <w:r>
              <w:rPr>
                <w:rFonts w:hint="eastAsia" w:ascii="宋体" w:hAnsi="宋体"/>
                <w:color w:val="auto"/>
                <w:szCs w:val="21"/>
                <w:highlight w:val="none"/>
              </w:rPr>
              <w:t>、修改</w:t>
            </w:r>
            <w:r>
              <w:rPr>
                <w:rFonts w:ascii="宋体" w:hAnsi="宋体"/>
                <w:color w:val="auto"/>
                <w:szCs w:val="21"/>
                <w:highlight w:val="none"/>
              </w:rPr>
              <w:t>时间</w:t>
            </w:r>
          </w:p>
        </w:tc>
        <w:tc>
          <w:tcPr>
            <w:tcW w:w="6127" w:type="dxa"/>
            <w:vAlign w:val="center"/>
          </w:tcPr>
          <w:p w14:paraId="5AF2DBEA">
            <w:pPr>
              <w:spacing w:line="480" w:lineRule="exact"/>
              <w:rPr>
                <w:rFonts w:ascii="宋体" w:hAnsi="宋体"/>
                <w:color w:val="auto"/>
                <w:szCs w:val="21"/>
                <w:highlight w:val="none"/>
                <w:u w:val="single"/>
              </w:rPr>
            </w:pPr>
            <w:r>
              <w:rPr>
                <w:rFonts w:hint="eastAsia" w:ascii="宋体" w:hAnsi="宋体"/>
                <w:color w:val="auto"/>
                <w:szCs w:val="21"/>
                <w:highlight w:val="none"/>
              </w:rPr>
              <w:t>投标人自行网上查询</w:t>
            </w:r>
          </w:p>
        </w:tc>
      </w:tr>
      <w:tr w14:paraId="77982D9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072" w:hRule="atLeast"/>
          <w:jc w:val="center"/>
        </w:trPr>
        <w:tc>
          <w:tcPr>
            <w:tcW w:w="1044" w:type="dxa"/>
            <w:vAlign w:val="center"/>
          </w:tcPr>
          <w:p w14:paraId="7513CA01">
            <w:pPr>
              <w:jc w:val="center"/>
              <w:rPr>
                <w:rFonts w:ascii="宋体" w:hAnsi="宋体"/>
                <w:color w:val="auto"/>
                <w:szCs w:val="21"/>
                <w:highlight w:val="none"/>
              </w:rPr>
            </w:pPr>
            <w:r>
              <w:rPr>
                <w:rFonts w:ascii="宋体" w:hAnsi="宋体"/>
                <w:color w:val="auto"/>
                <w:szCs w:val="21"/>
                <w:highlight w:val="none"/>
              </w:rPr>
              <w:t>19</w:t>
            </w:r>
          </w:p>
        </w:tc>
        <w:tc>
          <w:tcPr>
            <w:tcW w:w="2533" w:type="dxa"/>
            <w:vAlign w:val="center"/>
          </w:tcPr>
          <w:p w14:paraId="08B18ABE">
            <w:pPr>
              <w:jc w:val="center"/>
              <w:rPr>
                <w:rFonts w:ascii="宋体" w:hAnsi="宋体"/>
                <w:color w:val="auto"/>
                <w:szCs w:val="21"/>
                <w:highlight w:val="none"/>
              </w:rPr>
            </w:pPr>
            <w:r>
              <w:rPr>
                <w:rFonts w:ascii="宋体" w:hAnsi="宋体"/>
                <w:color w:val="auto"/>
                <w:szCs w:val="21"/>
                <w:highlight w:val="none"/>
              </w:rPr>
              <w:t>投标报价</w:t>
            </w:r>
            <w:r>
              <w:rPr>
                <w:rFonts w:hint="eastAsia" w:ascii="宋体" w:hAnsi="宋体"/>
                <w:color w:val="auto"/>
                <w:szCs w:val="21"/>
                <w:highlight w:val="none"/>
              </w:rPr>
              <w:t>要求</w:t>
            </w:r>
          </w:p>
        </w:tc>
        <w:tc>
          <w:tcPr>
            <w:tcW w:w="6127" w:type="dxa"/>
            <w:vAlign w:val="center"/>
          </w:tcPr>
          <w:p w14:paraId="69E7381B">
            <w:pPr>
              <w:spacing w:line="480" w:lineRule="exact"/>
              <w:rPr>
                <w:rFonts w:ascii="宋体" w:hAnsi="宋体"/>
                <w:color w:val="auto"/>
                <w:szCs w:val="21"/>
                <w:highlight w:val="none"/>
              </w:rPr>
            </w:pPr>
            <w:r>
              <w:rPr>
                <w:rFonts w:hint="eastAsia" w:ascii="宋体" w:hAnsi="宋体" w:cs="Arial"/>
                <w:bCs/>
                <w:color w:val="auto"/>
                <w:szCs w:val="21"/>
                <w:highlight w:val="none"/>
              </w:rPr>
              <w:t>采用“固定总价”报价方式，</w:t>
            </w:r>
            <w:r>
              <w:rPr>
                <w:rFonts w:hint="eastAsia" w:ascii="宋体" w:hAnsi="宋体"/>
                <w:color w:val="auto"/>
                <w:szCs w:val="21"/>
                <w:highlight w:val="none"/>
              </w:rPr>
              <w:t>投标报价是履行合同的最终结算价，投标时所报价格按招标人提供的采购需求及技术要求并进行相关服务而涵盖的所有费用。包括但不限于：人员工资、加班费、工作人员差旅费、调研考察、咨询费、研究费、各项福利、劳动保险、餐费、员工补助、工作人员必要的住宿费、办公费、论证费、各类方案评审费（含专家劳务费、会议组织费）、管理费、为本招标项目提供服务所需的仪器设备、各类耗材、公共耗能费、招标代理费、利润、税金、服务期内政策调整风险费等本项目招标文件规定的全部费用，</w:t>
            </w:r>
            <w:r>
              <w:rPr>
                <w:rFonts w:hint="eastAsia" w:ascii="宋体" w:hAnsi="宋体" w:cs="Arial"/>
                <w:bCs/>
                <w:color w:val="auto"/>
                <w:szCs w:val="21"/>
                <w:highlight w:val="none"/>
              </w:rPr>
              <w:t>投标人中标后投标报价不再调整。</w:t>
            </w:r>
          </w:p>
          <w:p w14:paraId="6B58DEB1">
            <w:pPr>
              <w:spacing w:line="480" w:lineRule="exact"/>
              <w:rPr>
                <w:rFonts w:ascii="宋体" w:hAnsi="宋体"/>
                <w:color w:val="auto"/>
                <w:szCs w:val="21"/>
                <w:highlight w:val="none"/>
              </w:rPr>
            </w:pPr>
            <w:r>
              <w:rPr>
                <w:rFonts w:hint="eastAsia" w:ascii="宋体" w:hAnsi="宋体"/>
                <w:color w:val="auto"/>
                <w:szCs w:val="21"/>
                <w:highlight w:val="none"/>
              </w:rPr>
              <w:t>除非因特殊原因并经双方协商同意，中标供应商不得再要求追加任何费用。同时，除非合同条款中另有规定，否则在合同实施期间中标价不因市场变化因素而变动。</w:t>
            </w:r>
          </w:p>
        </w:tc>
      </w:tr>
      <w:tr w14:paraId="1C036AC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40" w:hRule="atLeast"/>
          <w:jc w:val="center"/>
        </w:trPr>
        <w:tc>
          <w:tcPr>
            <w:tcW w:w="1044" w:type="dxa"/>
            <w:vAlign w:val="center"/>
          </w:tcPr>
          <w:p w14:paraId="33BB1C21">
            <w:pPr>
              <w:jc w:val="center"/>
              <w:rPr>
                <w:rFonts w:ascii="宋体" w:hAnsi="宋体"/>
                <w:color w:val="auto"/>
                <w:szCs w:val="21"/>
                <w:highlight w:val="none"/>
              </w:rPr>
            </w:pPr>
            <w:r>
              <w:rPr>
                <w:rFonts w:ascii="宋体" w:hAnsi="宋体"/>
                <w:color w:val="auto"/>
                <w:szCs w:val="21"/>
                <w:highlight w:val="none"/>
              </w:rPr>
              <w:t>20</w:t>
            </w:r>
          </w:p>
        </w:tc>
        <w:tc>
          <w:tcPr>
            <w:tcW w:w="2533" w:type="dxa"/>
            <w:vAlign w:val="center"/>
          </w:tcPr>
          <w:p w14:paraId="32EA5184">
            <w:pPr>
              <w:jc w:val="center"/>
              <w:rPr>
                <w:rFonts w:ascii="宋体" w:hAnsi="宋体"/>
                <w:color w:val="auto"/>
                <w:szCs w:val="21"/>
                <w:highlight w:val="none"/>
              </w:rPr>
            </w:pPr>
            <w:r>
              <w:rPr>
                <w:rFonts w:ascii="宋体" w:hAnsi="宋体"/>
                <w:color w:val="auto"/>
                <w:szCs w:val="21"/>
                <w:highlight w:val="none"/>
              </w:rPr>
              <w:t>最高投标限价</w:t>
            </w:r>
          </w:p>
        </w:tc>
        <w:tc>
          <w:tcPr>
            <w:tcW w:w="6127" w:type="dxa"/>
            <w:vAlign w:val="center"/>
          </w:tcPr>
          <w:p w14:paraId="62C22322">
            <w:pPr>
              <w:spacing w:line="480" w:lineRule="exact"/>
              <w:rPr>
                <w:rFonts w:ascii="宋体" w:hAnsi="宋体"/>
                <w:color w:val="auto"/>
                <w:szCs w:val="21"/>
                <w:highlight w:val="none"/>
              </w:rPr>
            </w:pPr>
            <w:r>
              <w:rPr>
                <w:rFonts w:hint="eastAsia" w:ascii="宋体" w:hAnsi="宋体"/>
                <w:color w:val="auto"/>
                <w:szCs w:val="21"/>
                <w:highlight w:val="none"/>
              </w:rPr>
              <w:t>200万元。</w:t>
            </w:r>
          </w:p>
        </w:tc>
      </w:tr>
      <w:tr w14:paraId="2E6688A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40" w:hRule="atLeast"/>
          <w:jc w:val="center"/>
        </w:trPr>
        <w:tc>
          <w:tcPr>
            <w:tcW w:w="1044" w:type="dxa"/>
            <w:vAlign w:val="center"/>
          </w:tcPr>
          <w:p w14:paraId="2E47F08D">
            <w:pPr>
              <w:jc w:val="center"/>
              <w:rPr>
                <w:rFonts w:ascii="宋体" w:hAnsi="宋体"/>
                <w:color w:val="auto"/>
                <w:szCs w:val="21"/>
                <w:highlight w:val="none"/>
              </w:rPr>
            </w:pPr>
            <w:r>
              <w:rPr>
                <w:rFonts w:ascii="宋体" w:hAnsi="宋体"/>
                <w:color w:val="auto"/>
                <w:szCs w:val="21"/>
                <w:highlight w:val="none"/>
              </w:rPr>
              <w:t>21</w:t>
            </w:r>
          </w:p>
        </w:tc>
        <w:tc>
          <w:tcPr>
            <w:tcW w:w="2533" w:type="dxa"/>
            <w:vAlign w:val="center"/>
          </w:tcPr>
          <w:p w14:paraId="6F40F5A6">
            <w:pPr>
              <w:jc w:val="center"/>
              <w:rPr>
                <w:rFonts w:ascii="宋体" w:hAnsi="宋体"/>
                <w:color w:val="auto"/>
                <w:szCs w:val="21"/>
                <w:highlight w:val="none"/>
              </w:rPr>
            </w:pPr>
            <w:r>
              <w:rPr>
                <w:rFonts w:ascii="宋体" w:hAnsi="宋体"/>
                <w:color w:val="auto"/>
                <w:szCs w:val="21"/>
                <w:highlight w:val="none"/>
              </w:rPr>
              <w:t>投标有效期</w:t>
            </w:r>
          </w:p>
        </w:tc>
        <w:tc>
          <w:tcPr>
            <w:tcW w:w="6127" w:type="dxa"/>
            <w:vAlign w:val="center"/>
          </w:tcPr>
          <w:p w14:paraId="575B6373">
            <w:pPr>
              <w:spacing w:line="480" w:lineRule="exact"/>
              <w:rPr>
                <w:rFonts w:ascii="宋体" w:hAnsi="宋体"/>
                <w:color w:val="auto"/>
                <w:szCs w:val="21"/>
                <w:highlight w:val="none"/>
              </w:rPr>
            </w:pPr>
            <w:r>
              <w:rPr>
                <w:rFonts w:hint="eastAsia" w:ascii="宋体" w:hAnsi="宋体"/>
                <w:color w:val="auto"/>
                <w:szCs w:val="21"/>
                <w:highlight w:val="none"/>
                <w:u w:val="single"/>
                <w:lang w:val="zh-CN"/>
              </w:rPr>
              <w:t>60</w:t>
            </w:r>
            <w:r>
              <w:rPr>
                <w:rFonts w:ascii="宋体" w:hAnsi="宋体"/>
                <w:color w:val="auto"/>
                <w:szCs w:val="21"/>
                <w:highlight w:val="none"/>
                <w:lang w:val="zh-CN"/>
              </w:rPr>
              <w:t>日（从投标截止之日算起）</w:t>
            </w:r>
          </w:p>
        </w:tc>
      </w:tr>
      <w:tr w14:paraId="7D09808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40" w:hRule="atLeast"/>
          <w:jc w:val="center"/>
        </w:trPr>
        <w:tc>
          <w:tcPr>
            <w:tcW w:w="1044" w:type="dxa"/>
            <w:vAlign w:val="center"/>
          </w:tcPr>
          <w:p w14:paraId="4D9AD1F2">
            <w:pPr>
              <w:jc w:val="center"/>
              <w:rPr>
                <w:rFonts w:ascii="宋体" w:hAnsi="宋体"/>
                <w:color w:val="auto"/>
                <w:szCs w:val="21"/>
                <w:highlight w:val="none"/>
              </w:rPr>
            </w:pPr>
            <w:r>
              <w:rPr>
                <w:rFonts w:ascii="宋体" w:hAnsi="宋体"/>
                <w:color w:val="auto"/>
                <w:szCs w:val="21"/>
                <w:highlight w:val="none"/>
              </w:rPr>
              <w:t>22</w:t>
            </w:r>
          </w:p>
        </w:tc>
        <w:tc>
          <w:tcPr>
            <w:tcW w:w="2533" w:type="dxa"/>
            <w:vAlign w:val="center"/>
          </w:tcPr>
          <w:p w14:paraId="2ABBD305">
            <w:pPr>
              <w:jc w:val="center"/>
              <w:rPr>
                <w:rFonts w:ascii="宋体" w:hAnsi="宋体"/>
                <w:color w:val="auto"/>
                <w:szCs w:val="21"/>
                <w:highlight w:val="none"/>
              </w:rPr>
            </w:pPr>
            <w:r>
              <w:rPr>
                <w:rFonts w:hint="eastAsia" w:ascii="宋体" w:hAnsi="宋体"/>
                <w:color w:val="auto"/>
                <w:szCs w:val="21"/>
                <w:highlight w:val="none"/>
              </w:rPr>
              <w:t>投标保证金</w:t>
            </w:r>
          </w:p>
        </w:tc>
        <w:tc>
          <w:tcPr>
            <w:tcW w:w="6127" w:type="dxa"/>
            <w:vAlign w:val="center"/>
          </w:tcPr>
          <w:p w14:paraId="682181BE">
            <w:pPr>
              <w:spacing w:line="480" w:lineRule="exact"/>
              <w:rPr>
                <w:rFonts w:ascii="宋体" w:hAnsi="宋体"/>
                <w:color w:val="auto"/>
                <w:szCs w:val="21"/>
                <w:highlight w:val="none"/>
                <w:lang w:val="zh-CN"/>
              </w:rPr>
            </w:pPr>
            <w:r>
              <w:rPr>
                <w:rFonts w:hint="eastAsia" w:ascii="宋体" w:hAnsi="宋体"/>
                <w:color w:val="auto"/>
                <w:szCs w:val="21"/>
                <w:highlight w:val="none"/>
                <w:lang w:val="zh-CN"/>
              </w:rPr>
              <w:t>本项目落实江苏省财政厅《关于做好政府采购支持企业发展有关事项的通知》(苏财购(2020)52号)文件精神，不收取投标保证金。</w:t>
            </w:r>
          </w:p>
        </w:tc>
      </w:tr>
      <w:tr w14:paraId="2959B07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01" w:hRule="atLeast"/>
          <w:jc w:val="center"/>
        </w:trPr>
        <w:tc>
          <w:tcPr>
            <w:tcW w:w="1044" w:type="dxa"/>
            <w:vAlign w:val="center"/>
          </w:tcPr>
          <w:p w14:paraId="33188433">
            <w:pPr>
              <w:jc w:val="center"/>
              <w:rPr>
                <w:rFonts w:ascii="宋体" w:hAnsi="宋体"/>
                <w:color w:val="auto"/>
                <w:szCs w:val="21"/>
                <w:highlight w:val="none"/>
              </w:rPr>
            </w:pPr>
            <w:r>
              <w:rPr>
                <w:rFonts w:ascii="宋体" w:hAnsi="宋体"/>
                <w:color w:val="auto"/>
                <w:szCs w:val="21"/>
                <w:highlight w:val="none"/>
              </w:rPr>
              <w:t>23</w:t>
            </w:r>
          </w:p>
        </w:tc>
        <w:tc>
          <w:tcPr>
            <w:tcW w:w="2533" w:type="dxa"/>
            <w:vAlign w:val="center"/>
          </w:tcPr>
          <w:p w14:paraId="1CD24E26">
            <w:pPr>
              <w:jc w:val="center"/>
              <w:rPr>
                <w:rFonts w:ascii="宋体" w:hAnsi="宋体"/>
                <w:color w:val="auto"/>
                <w:szCs w:val="21"/>
                <w:highlight w:val="none"/>
              </w:rPr>
            </w:pPr>
            <w:r>
              <w:rPr>
                <w:rFonts w:ascii="宋体" w:hAnsi="宋体"/>
                <w:color w:val="auto"/>
                <w:szCs w:val="21"/>
                <w:highlight w:val="none"/>
              </w:rPr>
              <w:t>是否允许递交备选</w:t>
            </w:r>
          </w:p>
          <w:p w14:paraId="44AD7B79">
            <w:pPr>
              <w:jc w:val="center"/>
              <w:rPr>
                <w:rFonts w:ascii="宋体" w:hAnsi="宋体"/>
                <w:color w:val="auto"/>
                <w:szCs w:val="21"/>
                <w:highlight w:val="none"/>
              </w:rPr>
            </w:pPr>
            <w:r>
              <w:rPr>
                <w:rFonts w:ascii="宋体" w:hAnsi="宋体"/>
                <w:color w:val="auto"/>
                <w:szCs w:val="21"/>
                <w:highlight w:val="none"/>
              </w:rPr>
              <w:t>投标方案</w:t>
            </w:r>
          </w:p>
        </w:tc>
        <w:tc>
          <w:tcPr>
            <w:tcW w:w="6127" w:type="dxa"/>
            <w:vAlign w:val="center"/>
          </w:tcPr>
          <w:p w14:paraId="054040FC">
            <w:pPr>
              <w:spacing w:line="480" w:lineRule="exact"/>
              <w:rPr>
                <w:rFonts w:ascii="宋体" w:hAnsi="宋体"/>
                <w:color w:val="auto"/>
                <w:szCs w:val="21"/>
                <w:highlight w:val="none"/>
              </w:rPr>
            </w:pPr>
            <w:r>
              <w:rPr>
                <w:rFonts w:ascii="宋体" w:hAnsi="宋体"/>
                <w:color w:val="auto"/>
                <w:szCs w:val="21"/>
                <w:highlight w:val="none"/>
              </w:rPr>
              <w:fldChar w:fldCharType="begin"/>
            </w:r>
            <w:r>
              <w:rPr>
                <w:rFonts w:ascii="宋体" w:hAnsi="宋体"/>
                <w:color w:val="auto"/>
                <w:szCs w:val="21"/>
                <w:highlight w:val="none"/>
              </w:rPr>
              <w:instrText xml:space="preserve"> </w:instrText>
            </w:r>
            <w:r>
              <w:rPr>
                <w:rFonts w:hint="eastAsia" w:ascii="宋体" w:hAnsi="宋体"/>
                <w:color w:val="auto"/>
                <w:szCs w:val="21"/>
                <w:highlight w:val="none"/>
              </w:rPr>
              <w:instrText xml:space="preserve">eq \o\ac(□,</w:instrText>
            </w:r>
            <w:r>
              <w:rPr>
                <w:rFonts w:hint="eastAsia" w:ascii="宋体" w:hAnsi="宋体"/>
                <w:color w:val="auto"/>
                <w:position w:val="2"/>
                <w:szCs w:val="21"/>
                <w:highlight w:val="none"/>
              </w:rPr>
              <w:instrText xml:space="preserve">√</w:instrText>
            </w:r>
            <w:r>
              <w:rPr>
                <w:rFonts w:hint="eastAsia" w:ascii="宋体" w:hAnsi="宋体"/>
                <w:color w:val="auto"/>
                <w:szCs w:val="21"/>
                <w:highlight w:val="none"/>
              </w:rPr>
              <w:instrText xml:space="preserve">)</w:instrText>
            </w:r>
            <w:r>
              <w:rPr>
                <w:rFonts w:ascii="宋体" w:hAnsi="宋体"/>
                <w:color w:val="auto"/>
                <w:szCs w:val="21"/>
                <w:highlight w:val="none"/>
              </w:rPr>
              <w:fldChar w:fldCharType="end"/>
            </w:r>
            <w:r>
              <w:rPr>
                <w:rFonts w:ascii="宋体" w:hAnsi="宋体"/>
                <w:color w:val="auto"/>
                <w:szCs w:val="21"/>
                <w:highlight w:val="none"/>
              </w:rPr>
              <w:t>不允许</w:t>
            </w:r>
          </w:p>
          <w:p w14:paraId="79F860D3">
            <w:pPr>
              <w:spacing w:line="480" w:lineRule="exact"/>
              <w:rPr>
                <w:rFonts w:ascii="宋体" w:hAnsi="宋体"/>
                <w:color w:val="auto"/>
                <w:szCs w:val="21"/>
                <w:highlight w:val="none"/>
              </w:rPr>
            </w:pPr>
            <w:r>
              <w:rPr>
                <w:rFonts w:ascii="宋体" w:hAnsi="宋体"/>
                <w:color w:val="auto"/>
                <w:szCs w:val="21"/>
                <w:highlight w:val="none"/>
              </w:rPr>
              <w:t>□允许</w:t>
            </w:r>
          </w:p>
        </w:tc>
      </w:tr>
      <w:tr w14:paraId="1574DF3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408" w:hRule="atLeast"/>
          <w:jc w:val="center"/>
        </w:trPr>
        <w:tc>
          <w:tcPr>
            <w:tcW w:w="1044" w:type="dxa"/>
            <w:vAlign w:val="center"/>
          </w:tcPr>
          <w:p w14:paraId="7151935C">
            <w:pPr>
              <w:jc w:val="center"/>
              <w:rPr>
                <w:rFonts w:ascii="宋体" w:hAnsi="宋体"/>
                <w:color w:val="auto"/>
                <w:szCs w:val="21"/>
                <w:highlight w:val="none"/>
              </w:rPr>
            </w:pPr>
            <w:r>
              <w:rPr>
                <w:rFonts w:ascii="宋体" w:hAnsi="宋体"/>
                <w:color w:val="auto"/>
                <w:szCs w:val="21"/>
                <w:highlight w:val="none"/>
              </w:rPr>
              <w:t>24</w:t>
            </w:r>
          </w:p>
        </w:tc>
        <w:tc>
          <w:tcPr>
            <w:tcW w:w="2533" w:type="dxa"/>
            <w:vAlign w:val="center"/>
          </w:tcPr>
          <w:p w14:paraId="6C4C692B">
            <w:pPr>
              <w:jc w:val="center"/>
              <w:rPr>
                <w:rFonts w:ascii="宋体" w:hAnsi="宋体"/>
                <w:color w:val="auto"/>
                <w:szCs w:val="21"/>
                <w:highlight w:val="none"/>
              </w:rPr>
            </w:pPr>
            <w:r>
              <w:rPr>
                <w:rFonts w:hint="eastAsia" w:ascii="宋体" w:hAnsi="宋体"/>
                <w:color w:val="auto"/>
                <w:szCs w:val="21"/>
                <w:highlight w:val="none"/>
              </w:rPr>
              <w:t>投标文件</w:t>
            </w:r>
          </w:p>
        </w:tc>
        <w:tc>
          <w:tcPr>
            <w:tcW w:w="6127" w:type="dxa"/>
            <w:vAlign w:val="center"/>
          </w:tcPr>
          <w:p w14:paraId="6463A1C2">
            <w:pPr>
              <w:spacing w:line="480" w:lineRule="exact"/>
              <w:rPr>
                <w:rFonts w:ascii="宋体" w:hAnsi="宋体"/>
                <w:color w:val="auto"/>
                <w:szCs w:val="21"/>
                <w:highlight w:val="none"/>
              </w:rPr>
            </w:pPr>
            <w:r>
              <w:rPr>
                <w:rFonts w:hint="eastAsia" w:ascii="宋体" w:hAnsi="宋体"/>
                <w:color w:val="auto"/>
                <w:szCs w:val="21"/>
                <w:highlight w:val="none"/>
              </w:rPr>
              <w:t>电子投标文件一份(通过系统提交)；纸质投标文件正本一份，副本三份（评审结束后由中标人邮寄至江苏伟业项目管理有限公司（盐城市大丰区东方一号创意小镇9-1栋410室）。</w:t>
            </w:r>
          </w:p>
        </w:tc>
      </w:tr>
      <w:tr w14:paraId="7997D9A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41" w:hRule="atLeast"/>
          <w:jc w:val="center"/>
        </w:trPr>
        <w:tc>
          <w:tcPr>
            <w:tcW w:w="1044" w:type="dxa"/>
            <w:vAlign w:val="center"/>
          </w:tcPr>
          <w:p w14:paraId="7E76E807">
            <w:pPr>
              <w:jc w:val="center"/>
              <w:rPr>
                <w:rFonts w:ascii="宋体" w:hAnsi="宋体"/>
                <w:color w:val="auto"/>
                <w:szCs w:val="21"/>
                <w:highlight w:val="none"/>
              </w:rPr>
            </w:pPr>
            <w:r>
              <w:rPr>
                <w:rFonts w:ascii="宋体" w:hAnsi="宋体"/>
                <w:color w:val="auto"/>
                <w:szCs w:val="21"/>
                <w:highlight w:val="none"/>
              </w:rPr>
              <w:t>25</w:t>
            </w:r>
          </w:p>
        </w:tc>
        <w:tc>
          <w:tcPr>
            <w:tcW w:w="2533" w:type="dxa"/>
            <w:vAlign w:val="center"/>
          </w:tcPr>
          <w:p w14:paraId="43EADD12">
            <w:pPr>
              <w:spacing w:line="420" w:lineRule="exact"/>
              <w:jc w:val="center"/>
              <w:rPr>
                <w:rFonts w:ascii="宋体" w:hAnsi="宋体"/>
                <w:color w:val="auto"/>
                <w:szCs w:val="21"/>
                <w:highlight w:val="none"/>
              </w:rPr>
            </w:pPr>
            <w:r>
              <w:rPr>
                <w:rFonts w:ascii="宋体" w:hAnsi="宋体"/>
                <w:color w:val="auto"/>
                <w:szCs w:val="21"/>
                <w:highlight w:val="none"/>
              </w:rPr>
              <w:t>投标文件递交截止</w:t>
            </w:r>
          </w:p>
          <w:p w14:paraId="1A83071A">
            <w:pPr>
              <w:spacing w:line="420" w:lineRule="exact"/>
              <w:jc w:val="center"/>
              <w:rPr>
                <w:rFonts w:ascii="宋体" w:hAnsi="宋体"/>
                <w:color w:val="auto"/>
                <w:szCs w:val="21"/>
                <w:highlight w:val="none"/>
              </w:rPr>
            </w:pPr>
            <w:r>
              <w:rPr>
                <w:rFonts w:ascii="宋体" w:hAnsi="宋体"/>
                <w:color w:val="auto"/>
                <w:szCs w:val="21"/>
                <w:highlight w:val="none"/>
              </w:rPr>
              <w:t>时间</w:t>
            </w:r>
          </w:p>
        </w:tc>
        <w:tc>
          <w:tcPr>
            <w:tcW w:w="6127" w:type="dxa"/>
            <w:vAlign w:val="center"/>
          </w:tcPr>
          <w:p w14:paraId="03FCC42B">
            <w:pPr>
              <w:spacing w:line="480" w:lineRule="exact"/>
              <w:rPr>
                <w:rFonts w:ascii="宋体" w:hAnsi="宋体"/>
                <w:color w:val="auto"/>
                <w:szCs w:val="21"/>
                <w:highlight w:val="none"/>
              </w:rPr>
            </w:pPr>
            <w:r>
              <w:rPr>
                <w:rFonts w:hint="eastAsia" w:ascii="宋体" w:hAnsi="宋体"/>
                <w:color w:val="auto"/>
                <w:szCs w:val="21"/>
                <w:highlight w:val="none"/>
              </w:rPr>
              <w:t>时间：</w:t>
            </w:r>
            <w:r>
              <w:rPr>
                <w:rFonts w:hint="eastAsia" w:ascii="宋体" w:hAnsi="宋体"/>
                <w:color w:val="auto"/>
                <w:szCs w:val="21"/>
                <w:highlight w:val="none"/>
                <w:u w:val="single"/>
              </w:rPr>
              <w:t>202</w:t>
            </w:r>
            <w:r>
              <w:rPr>
                <w:rFonts w:ascii="宋体" w:hAnsi="宋体"/>
                <w:color w:val="auto"/>
                <w:szCs w:val="21"/>
                <w:highlight w:val="none"/>
                <w:u w:val="single"/>
              </w:rPr>
              <w:t>5</w:t>
            </w:r>
            <w:r>
              <w:rPr>
                <w:rFonts w:ascii="宋体" w:hAnsi="宋体"/>
                <w:color w:val="auto"/>
                <w:szCs w:val="21"/>
                <w:highlight w:val="none"/>
              </w:rPr>
              <w:t>年</w:t>
            </w:r>
            <w:r>
              <w:rPr>
                <w:rFonts w:hint="eastAsia" w:ascii="宋体" w:hAnsi="宋体"/>
                <w:color w:val="auto"/>
                <w:szCs w:val="21"/>
                <w:highlight w:val="none"/>
                <w:lang w:val="en-US" w:eastAsia="zh-CN"/>
              </w:rPr>
              <w:t>12</w:t>
            </w:r>
            <w:r>
              <w:rPr>
                <w:rFonts w:hint="eastAsia" w:ascii="宋体" w:hAnsi="宋体"/>
                <w:color w:val="auto"/>
                <w:szCs w:val="21"/>
                <w:highlight w:val="none"/>
              </w:rPr>
              <w:t>月</w:t>
            </w:r>
            <w:r>
              <w:rPr>
                <w:rFonts w:hint="eastAsia" w:ascii="宋体" w:hAnsi="宋体"/>
                <w:color w:val="auto"/>
                <w:szCs w:val="21"/>
                <w:highlight w:val="none"/>
                <w:u w:val="single"/>
              </w:rPr>
              <w:t xml:space="preserve"> </w:t>
            </w:r>
            <w:r>
              <w:rPr>
                <w:rFonts w:hint="eastAsia" w:ascii="宋体" w:hAnsi="宋体"/>
                <w:color w:val="auto"/>
                <w:szCs w:val="21"/>
                <w:highlight w:val="none"/>
                <w:u w:val="single"/>
                <w:lang w:val="en-US" w:eastAsia="zh-CN"/>
              </w:rPr>
              <w:t>2</w:t>
            </w:r>
            <w:r>
              <w:rPr>
                <w:rFonts w:hint="eastAsia" w:ascii="宋体" w:hAnsi="宋体"/>
                <w:color w:val="auto"/>
                <w:szCs w:val="21"/>
                <w:highlight w:val="none"/>
                <w:u w:val="single"/>
              </w:rPr>
              <w:t xml:space="preserve"> </w:t>
            </w:r>
            <w:r>
              <w:rPr>
                <w:rFonts w:ascii="宋体" w:hAnsi="宋体"/>
                <w:color w:val="auto"/>
                <w:szCs w:val="21"/>
                <w:highlight w:val="none"/>
              </w:rPr>
              <w:t>日</w:t>
            </w:r>
            <w:r>
              <w:rPr>
                <w:rFonts w:hint="eastAsia" w:ascii="宋体" w:hAnsi="宋体"/>
                <w:color w:val="auto"/>
                <w:szCs w:val="21"/>
                <w:highlight w:val="none"/>
                <w:u w:val="single"/>
              </w:rPr>
              <w:t xml:space="preserve"> </w:t>
            </w:r>
            <w:r>
              <w:rPr>
                <w:rFonts w:hint="eastAsia" w:ascii="宋体" w:hAnsi="宋体"/>
                <w:color w:val="auto"/>
                <w:szCs w:val="21"/>
                <w:highlight w:val="none"/>
                <w:u w:val="single"/>
                <w:lang w:val="en-US" w:eastAsia="zh-CN"/>
              </w:rPr>
              <w:t>9</w:t>
            </w:r>
            <w:r>
              <w:rPr>
                <w:rFonts w:hint="eastAsia" w:ascii="宋体" w:hAnsi="宋体"/>
                <w:color w:val="auto"/>
                <w:szCs w:val="21"/>
                <w:highlight w:val="none"/>
                <w:u w:val="single"/>
              </w:rPr>
              <w:t xml:space="preserve"> </w:t>
            </w:r>
            <w:r>
              <w:rPr>
                <w:rFonts w:hint="eastAsia" w:ascii="宋体" w:hAnsi="宋体"/>
                <w:color w:val="auto"/>
                <w:szCs w:val="21"/>
                <w:highlight w:val="none"/>
              </w:rPr>
              <w:t>时</w:t>
            </w:r>
            <w:r>
              <w:rPr>
                <w:rFonts w:hint="eastAsia" w:ascii="宋体" w:hAnsi="宋体"/>
                <w:color w:val="auto"/>
                <w:szCs w:val="21"/>
                <w:highlight w:val="none"/>
                <w:lang w:val="en-US" w:eastAsia="zh-CN"/>
              </w:rPr>
              <w:t>3</w:t>
            </w:r>
            <w:r>
              <w:rPr>
                <w:rFonts w:ascii="宋体" w:hAnsi="宋体"/>
                <w:color w:val="auto"/>
                <w:szCs w:val="21"/>
                <w:highlight w:val="none"/>
              </w:rPr>
              <w:t>0</w:t>
            </w:r>
            <w:r>
              <w:rPr>
                <w:rFonts w:hint="eastAsia" w:ascii="宋体" w:hAnsi="宋体"/>
                <w:color w:val="auto"/>
                <w:szCs w:val="21"/>
                <w:highlight w:val="none"/>
              </w:rPr>
              <w:t>分0</w:t>
            </w:r>
            <w:r>
              <w:rPr>
                <w:rFonts w:ascii="宋体" w:hAnsi="宋体"/>
                <w:color w:val="auto"/>
                <w:szCs w:val="21"/>
                <w:highlight w:val="none"/>
              </w:rPr>
              <w:t>0</w:t>
            </w:r>
            <w:r>
              <w:rPr>
                <w:rFonts w:hint="eastAsia" w:ascii="宋体" w:hAnsi="宋体"/>
                <w:color w:val="auto"/>
                <w:szCs w:val="21"/>
                <w:highlight w:val="none"/>
              </w:rPr>
              <w:t>秒</w:t>
            </w:r>
          </w:p>
        </w:tc>
      </w:tr>
      <w:tr w14:paraId="0E03369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830" w:hRule="atLeast"/>
          <w:jc w:val="center"/>
        </w:trPr>
        <w:tc>
          <w:tcPr>
            <w:tcW w:w="1044" w:type="dxa"/>
            <w:vAlign w:val="center"/>
          </w:tcPr>
          <w:p w14:paraId="68D961AD">
            <w:pPr>
              <w:jc w:val="center"/>
              <w:rPr>
                <w:rFonts w:ascii="宋体" w:hAnsi="宋体"/>
                <w:color w:val="auto"/>
                <w:szCs w:val="21"/>
                <w:highlight w:val="none"/>
              </w:rPr>
            </w:pPr>
            <w:r>
              <w:rPr>
                <w:rFonts w:ascii="宋体" w:hAnsi="宋体"/>
                <w:color w:val="auto"/>
                <w:szCs w:val="21"/>
                <w:highlight w:val="none"/>
              </w:rPr>
              <w:t>26</w:t>
            </w:r>
          </w:p>
        </w:tc>
        <w:tc>
          <w:tcPr>
            <w:tcW w:w="2533" w:type="dxa"/>
            <w:vAlign w:val="center"/>
          </w:tcPr>
          <w:p w14:paraId="76CEAF0B">
            <w:pPr>
              <w:spacing w:line="420" w:lineRule="exact"/>
              <w:jc w:val="center"/>
              <w:rPr>
                <w:rFonts w:ascii="宋体" w:hAnsi="宋体"/>
                <w:color w:val="auto"/>
                <w:szCs w:val="21"/>
                <w:highlight w:val="none"/>
              </w:rPr>
            </w:pPr>
            <w:r>
              <w:rPr>
                <w:rFonts w:ascii="宋体" w:hAnsi="宋体"/>
                <w:color w:val="auto"/>
                <w:szCs w:val="21"/>
                <w:highlight w:val="none"/>
              </w:rPr>
              <w:t>开标时间和地点</w:t>
            </w:r>
          </w:p>
        </w:tc>
        <w:tc>
          <w:tcPr>
            <w:tcW w:w="6127" w:type="dxa"/>
            <w:vAlign w:val="center"/>
          </w:tcPr>
          <w:p w14:paraId="089C0E37">
            <w:pPr>
              <w:spacing w:line="480" w:lineRule="exact"/>
              <w:rPr>
                <w:rFonts w:ascii="宋体" w:hAnsi="宋体"/>
                <w:color w:val="auto"/>
                <w:szCs w:val="21"/>
                <w:highlight w:val="none"/>
              </w:rPr>
            </w:pPr>
            <w:r>
              <w:rPr>
                <w:rFonts w:ascii="宋体" w:hAnsi="宋体"/>
                <w:color w:val="auto"/>
                <w:szCs w:val="21"/>
                <w:highlight w:val="none"/>
              </w:rPr>
              <w:t>开标时间：</w:t>
            </w:r>
            <w:r>
              <w:rPr>
                <w:rFonts w:hint="eastAsia" w:ascii="宋体" w:hAnsi="宋体"/>
                <w:color w:val="auto"/>
                <w:szCs w:val="21"/>
                <w:highlight w:val="none"/>
              </w:rPr>
              <w:t>同投标截止时间</w:t>
            </w:r>
          </w:p>
          <w:p w14:paraId="232642FC">
            <w:pPr>
              <w:wordWrap w:val="0"/>
              <w:overflowPunct w:val="0"/>
              <w:autoSpaceDE w:val="0"/>
              <w:autoSpaceDN w:val="0"/>
              <w:spacing w:line="480" w:lineRule="exact"/>
              <w:jc w:val="left"/>
              <w:rPr>
                <w:rFonts w:ascii="宋体" w:hAnsi="宋体" w:cs="宋体"/>
                <w:color w:val="auto"/>
                <w:szCs w:val="21"/>
                <w:highlight w:val="none"/>
              </w:rPr>
            </w:pPr>
            <w:r>
              <w:rPr>
                <w:rFonts w:ascii="宋体" w:hAnsi="宋体"/>
                <w:color w:val="auto"/>
                <w:szCs w:val="21"/>
                <w:highlight w:val="none"/>
              </w:rPr>
              <w:t>开标地点：</w:t>
            </w:r>
            <w:r>
              <w:rPr>
                <w:rFonts w:hint="eastAsia" w:ascii="宋体" w:hAnsi="宋体" w:cs="宋体"/>
                <w:color w:val="auto"/>
                <w:szCs w:val="21"/>
                <w:highlight w:val="none"/>
              </w:rPr>
              <w:t>“苏采云”系统（网址：http://jszfcg.jsczt.cn/）“开标大厅”。</w:t>
            </w:r>
          </w:p>
        </w:tc>
      </w:tr>
      <w:tr w14:paraId="66CBAC6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258" w:hRule="atLeast"/>
          <w:jc w:val="center"/>
        </w:trPr>
        <w:tc>
          <w:tcPr>
            <w:tcW w:w="1044" w:type="dxa"/>
            <w:vAlign w:val="center"/>
          </w:tcPr>
          <w:p w14:paraId="7D8BEF9D">
            <w:pPr>
              <w:jc w:val="center"/>
              <w:rPr>
                <w:rFonts w:ascii="宋体" w:hAnsi="宋体"/>
                <w:color w:val="auto"/>
                <w:szCs w:val="21"/>
                <w:highlight w:val="none"/>
              </w:rPr>
            </w:pPr>
            <w:r>
              <w:rPr>
                <w:rFonts w:ascii="宋体" w:hAnsi="宋体"/>
                <w:color w:val="auto"/>
                <w:szCs w:val="21"/>
                <w:highlight w:val="none"/>
              </w:rPr>
              <w:t>27</w:t>
            </w:r>
          </w:p>
        </w:tc>
        <w:tc>
          <w:tcPr>
            <w:tcW w:w="2533" w:type="dxa"/>
            <w:vAlign w:val="center"/>
          </w:tcPr>
          <w:p w14:paraId="49B71BBE">
            <w:pPr>
              <w:spacing w:line="420" w:lineRule="exact"/>
              <w:jc w:val="center"/>
              <w:rPr>
                <w:rFonts w:ascii="宋体" w:hAnsi="宋体"/>
                <w:color w:val="auto"/>
                <w:szCs w:val="21"/>
                <w:highlight w:val="none"/>
              </w:rPr>
            </w:pPr>
            <w:r>
              <w:rPr>
                <w:rFonts w:ascii="宋体" w:hAnsi="宋体"/>
                <w:color w:val="auto"/>
                <w:szCs w:val="21"/>
                <w:highlight w:val="none"/>
              </w:rPr>
              <w:t>是否授权评标委员会确定中标人</w:t>
            </w:r>
          </w:p>
        </w:tc>
        <w:tc>
          <w:tcPr>
            <w:tcW w:w="6127" w:type="dxa"/>
            <w:vAlign w:val="center"/>
          </w:tcPr>
          <w:p w14:paraId="3BC4A018">
            <w:pPr>
              <w:spacing w:line="480" w:lineRule="exact"/>
              <w:rPr>
                <w:rFonts w:ascii="宋体" w:hAnsi="宋体"/>
                <w:color w:val="auto"/>
                <w:szCs w:val="21"/>
                <w:highlight w:val="none"/>
              </w:rPr>
            </w:pPr>
            <w:r>
              <w:rPr>
                <w:rFonts w:ascii="宋体" w:hAnsi="宋体"/>
                <w:color w:val="auto"/>
                <w:szCs w:val="21"/>
                <w:highlight w:val="none"/>
              </w:rPr>
              <w:t>□是</w:t>
            </w:r>
          </w:p>
          <w:p w14:paraId="0D7B6A7B">
            <w:pPr>
              <w:spacing w:line="480" w:lineRule="exact"/>
              <w:rPr>
                <w:rFonts w:ascii="宋体" w:hAnsi="宋体"/>
                <w:color w:val="auto"/>
                <w:szCs w:val="21"/>
                <w:highlight w:val="none"/>
                <w:u w:val="single"/>
              </w:rPr>
            </w:pPr>
            <w:r>
              <w:rPr>
                <w:rFonts w:ascii="宋体" w:hAnsi="宋体"/>
                <w:color w:val="auto"/>
                <w:szCs w:val="21"/>
                <w:highlight w:val="none"/>
              </w:rPr>
              <w:fldChar w:fldCharType="begin"/>
            </w:r>
            <w:r>
              <w:rPr>
                <w:rFonts w:ascii="宋体" w:hAnsi="宋体"/>
                <w:color w:val="auto"/>
                <w:szCs w:val="21"/>
                <w:highlight w:val="none"/>
              </w:rPr>
              <w:instrText xml:space="preserve"> </w:instrText>
            </w:r>
            <w:r>
              <w:rPr>
                <w:rFonts w:hint="eastAsia" w:ascii="宋体" w:hAnsi="宋体"/>
                <w:color w:val="auto"/>
                <w:szCs w:val="21"/>
                <w:highlight w:val="none"/>
              </w:rPr>
              <w:instrText xml:space="preserve">eq \o\ac(□,</w:instrText>
            </w:r>
            <w:r>
              <w:rPr>
                <w:rFonts w:hint="eastAsia" w:ascii="宋体" w:hAnsi="宋体"/>
                <w:color w:val="auto"/>
                <w:position w:val="2"/>
                <w:szCs w:val="21"/>
                <w:highlight w:val="none"/>
              </w:rPr>
              <w:instrText xml:space="preserve">√</w:instrText>
            </w:r>
            <w:r>
              <w:rPr>
                <w:rFonts w:hint="eastAsia" w:ascii="宋体" w:hAnsi="宋体"/>
                <w:color w:val="auto"/>
                <w:szCs w:val="21"/>
                <w:highlight w:val="none"/>
              </w:rPr>
              <w:instrText xml:space="preserve">)</w:instrText>
            </w:r>
            <w:r>
              <w:rPr>
                <w:rFonts w:ascii="宋体" w:hAnsi="宋体"/>
                <w:color w:val="auto"/>
                <w:szCs w:val="21"/>
                <w:highlight w:val="none"/>
              </w:rPr>
              <w:fldChar w:fldCharType="end"/>
            </w:r>
            <w:r>
              <w:rPr>
                <w:rFonts w:ascii="宋体" w:hAnsi="宋体"/>
                <w:color w:val="auto"/>
                <w:szCs w:val="21"/>
                <w:highlight w:val="none"/>
              </w:rPr>
              <w:t>否</w:t>
            </w:r>
            <w:r>
              <w:rPr>
                <w:rFonts w:hint="eastAsia" w:ascii="宋体" w:hAnsi="宋体"/>
                <w:color w:val="auto"/>
                <w:szCs w:val="21"/>
                <w:highlight w:val="none"/>
              </w:rPr>
              <w:t>，推荐1名中标候选人</w:t>
            </w:r>
          </w:p>
        </w:tc>
      </w:tr>
      <w:tr w14:paraId="4BAB464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193" w:hRule="atLeast"/>
          <w:jc w:val="center"/>
        </w:trPr>
        <w:tc>
          <w:tcPr>
            <w:tcW w:w="1044" w:type="dxa"/>
            <w:vAlign w:val="center"/>
          </w:tcPr>
          <w:p w14:paraId="4B4EAB33">
            <w:pPr>
              <w:jc w:val="center"/>
              <w:rPr>
                <w:rFonts w:ascii="宋体" w:hAnsi="宋体"/>
                <w:color w:val="auto"/>
                <w:szCs w:val="21"/>
                <w:highlight w:val="none"/>
              </w:rPr>
            </w:pPr>
            <w:r>
              <w:rPr>
                <w:rFonts w:ascii="宋体" w:hAnsi="宋体"/>
                <w:color w:val="auto"/>
                <w:szCs w:val="21"/>
                <w:highlight w:val="none"/>
              </w:rPr>
              <w:t>28</w:t>
            </w:r>
          </w:p>
        </w:tc>
        <w:tc>
          <w:tcPr>
            <w:tcW w:w="2533" w:type="dxa"/>
            <w:vAlign w:val="center"/>
          </w:tcPr>
          <w:p w14:paraId="4F938351">
            <w:pPr>
              <w:spacing w:line="420" w:lineRule="exact"/>
              <w:jc w:val="center"/>
              <w:rPr>
                <w:rFonts w:ascii="宋体" w:hAnsi="宋体"/>
                <w:color w:val="auto"/>
                <w:szCs w:val="21"/>
                <w:highlight w:val="none"/>
              </w:rPr>
            </w:pPr>
            <w:r>
              <w:rPr>
                <w:rFonts w:ascii="宋体" w:hAnsi="宋体"/>
                <w:color w:val="auto"/>
                <w:szCs w:val="21"/>
                <w:highlight w:val="none"/>
              </w:rPr>
              <w:t>履约保证金</w:t>
            </w:r>
          </w:p>
        </w:tc>
        <w:tc>
          <w:tcPr>
            <w:tcW w:w="6127" w:type="dxa"/>
            <w:vAlign w:val="center"/>
          </w:tcPr>
          <w:p w14:paraId="0655DD6D">
            <w:pPr>
              <w:spacing w:line="480" w:lineRule="exact"/>
              <w:rPr>
                <w:rFonts w:ascii="宋体" w:hAnsi="宋体"/>
                <w:bCs/>
                <w:color w:val="auto"/>
                <w:szCs w:val="21"/>
                <w:highlight w:val="none"/>
              </w:rPr>
            </w:pPr>
            <w:r>
              <w:rPr>
                <w:rFonts w:hint="eastAsia" w:ascii="宋体" w:hAnsi="宋体"/>
                <w:bCs/>
                <w:color w:val="auto"/>
                <w:szCs w:val="21"/>
                <w:highlight w:val="none"/>
              </w:rPr>
              <w:t>中标单位在签订合同前，须向采购人交纳中标价</w:t>
            </w:r>
            <w:r>
              <w:rPr>
                <w:rFonts w:ascii="宋体" w:hAnsi="宋体"/>
                <w:bCs/>
                <w:color w:val="auto"/>
                <w:szCs w:val="21"/>
                <w:highlight w:val="none"/>
              </w:rPr>
              <w:t>10</w:t>
            </w:r>
            <w:r>
              <w:rPr>
                <w:rFonts w:hint="eastAsia" w:ascii="宋体" w:hAnsi="宋体"/>
                <w:bCs/>
                <w:color w:val="auto"/>
                <w:szCs w:val="21"/>
                <w:highlight w:val="none"/>
              </w:rPr>
              <w:t>%的履约保证金，验收合格且采购人收到发票后30日内无息退还。履约保证金用以约束中标单位在合同履行中的行为，弥补合同执行中由于自身行为可能给采购人带来的各种损失。对提供第三方信用服务机构依据标准规范评定为AA级及以上的政府采购供应商（须在签订采购合同前提供信用管理部门备案的第三方信用报告，且信用报告通过“信用盐城网”可查实）</w:t>
            </w:r>
            <w:r>
              <w:rPr>
                <w:rFonts w:hint="eastAsia" w:ascii="宋体" w:hAnsi="宋体"/>
                <w:b/>
                <w:bCs/>
                <w:color w:val="auto"/>
                <w:szCs w:val="21"/>
                <w:highlight w:val="none"/>
              </w:rPr>
              <w:t>免交履约保证金</w:t>
            </w:r>
            <w:r>
              <w:rPr>
                <w:rFonts w:hint="eastAsia" w:ascii="宋体" w:hAnsi="宋体"/>
                <w:bCs/>
                <w:color w:val="auto"/>
                <w:szCs w:val="21"/>
                <w:highlight w:val="none"/>
              </w:rPr>
              <w:t>。</w:t>
            </w:r>
          </w:p>
          <w:p w14:paraId="6113F763">
            <w:pPr>
              <w:spacing w:line="480" w:lineRule="exact"/>
              <w:rPr>
                <w:rFonts w:ascii="宋体" w:hAnsi="宋体"/>
                <w:bCs/>
                <w:color w:val="auto"/>
                <w:szCs w:val="21"/>
                <w:highlight w:val="none"/>
              </w:rPr>
            </w:pPr>
            <w:r>
              <w:rPr>
                <w:rFonts w:hint="eastAsia" w:ascii="宋体" w:hAnsi="宋体"/>
                <w:bCs/>
                <w:color w:val="auto"/>
                <w:szCs w:val="21"/>
                <w:highlight w:val="none"/>
              </w:rPr>
              <w:t>履约保证金形式：供应商应当以支票、汇票、本票或者金融机构、担保机构出具的保函等非现金形式提交，</w:t>
            </w:r>
            <w:r>
              <w:rPr>
                <w:rFonts w:hint="eastAsia" w:ascii="宋体" w:hAnsi="宋体"/>
                <w:color w:val="auto"/>
                <w:highlight w:val="none"/>
              </w:rPr>
              <w:t>依据《关于在全省政府采购领域推行电子履约保函（保险）的通知》，鼓励供应商自愿使用履约保函（保险）代替缴纳履约保证金），</w:t>
            </w:r>
            <w:r>
              <w:rPr>
                <w:rFonts w:hint="eastAsia" w:ascii="宋体" w:hAnsi="宋体"/>
                <w:color w:val="auto"/>
                <w:szCs w:val="21"/>
                <w:highlight w:val="none"/>
              </w:rPr>
              <w:t>供应商可登录江苏政府采购网“资料下载”栏目（网址：www.ccgp-jiangsu.gov.cn/jiangsu/zlxz）下载“政府采购电子履约保函（保险）操作手册”</w:t>
            </w:r>
            <w:r>
              <w:rPr>
                <w:rFonts w:hint="eastAsia" w:ascii="宋体" w:hAnsi="宋体"/>
                <w:bCs/>
                <w:color w:val="auto"/>
                <w:szCs w:val="21"/>
                <w:highlight w:val="none"/>
              </w:rPr>
              <w:t>。</w:t>
            </w:r>
          </w:p>
        </w:tc>
      </w:tr>
      <w:tr w14:paraId="181E7DF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59" w:hRule="atLeast"/>
          <w:jc w:val="center"/>
        </w:trPr>
        <w:tc>
          <w:tcPr>
            <w:tcW w:w="1044" w:type="dxa"/>
            <w:vAlign w:val="center"/>
          </w:tcPr>
          <w:p w14:paraId="233D1B18">
            <w:pPr>
              <w:jc w:val="center"/>
              <w:rPr>
                <w:rFonts w:ascii="宋体" w:hAnsi="宋体"/>
                <w:color w:val="auto"/>
                <w:szCs w:val="21"/>
                <w:highlight w:val="none"/>
              </w:rPr>
            </w:pPr>
            <w:r>
              <w:rPr>
                <w:rFonts w:ascii="宋体" w:hAnsi="宋体"/>
                <w:color w:val="auto"/>
                <w:szCs w:val="21"/>
                <w:highlight w:val="none"/>
              </w:rPr>
              <w:t>29</w:t>
            </w:r>
          </w:p>
        </w:tc>
        <w:tc>
          <w:tcPr>
            <w:tcW w:w="2533" w:type="dxa"/>
            <w:vAlign w:val="center"/>
          </w:tcPr>
          <w:p w14:paraId="782FEF09">
            <w:pPr>
              <w:spacing w:line="420" w:lineRule="exact"/>
              <w:jc w:val="center"/>
              <w:rPr>
                <w:rFonts w:ascii="宋体" w:hAnsi="宋体"/>
                <w:color w:val="auto"/>
                <w:szCs w:val="21"/>
                <w:highlight w:val="none"/>
              </w:rPr>
            </w:pPr>
            <w:r>
              <w:rPr>
                <w:rFonts w:hint="eastAsia" w:ascii="宋体" w:hAnsi="宋体"/>
                <w:color w:val="auto"/>
                <w:szCs w:val="21"/>
                <w:highlight w:val="none"/>
              </w:rPr>
              <w:t>付款方式</w:t>
            </w:r>
          </w:p>
        </w:tc>
        <w:tc>
          <w:tcPr>
            <w:tcW w:w="6127" w:type="dxa"/>
            <w:vAlign w:val="center"/>
          </w:tcPr>
          <w:p w14:paraId="6FA16FD3">
            <w:pPr>
              <w:spacing w:line="480" w:lineRule="exact"/>
              <w:rPr>
                <w:rFonts w:hint="eastAsia" w:ascii="宋体" w:hAnsi="宋体"/>
                <w:color w:val="auto"/>
                <w:szCs w:val="21"/>
                <w:highlight w:val="none"/>
              </w:rPr>
            </w:pPr>
            <w:r>
              <w:rPr>
                <w:rFonts w:hint="eastAsia" w:ascii="宋体" w:hAnsi="宋体"/>
                <w:color w:val="auto"/>
                <w:szCs w:val="21"/>
                <w:highlight w:val="none"/>
              </w:rPr>
              <w:t>合同签订后由中标人向采购人申请预支付合同价款的30%，提交初步规划成果文件并经评审后，支付至合同价款的60%，提交正式规划成果文件后付清余款。</w:t>
            </w:r>
          </w:p>
          <w:p w14:paraId="178D3056">
            <w:pPr>
              <w:spacing w:line="480" w:lineRule="exact"/>
              <w:rPr>
                <w:rFonts w:ascii="宋体" w:hAnsi="宋体"/>
                <w:color w:val="auto"/>
                <w:szCs w:val="21"/>
                <w:highlight w:val="none"/>
              </w:rPr>
            </w:pPr>
            <w:r>
              <w:rPr>
                <w:rFonts w:hint="eastAsia" w:ascii="宋体" w:hAnsi="宋体"/>
                <w:color w:val="auto"/>
                <w:szCs w:val="21"/>
                <w:highlight w:val="none"/>
              </w:rPr>
              <w:t>以上付款均无银行利息，且中标人需提供相应金额的有效票据；</w:t>
            </w:r>
          </w:p>
          <w:p w14:paraId="26101EAD">
            <w:pPr>
              <w:spacing w:line="480" w:lineRule="exact"/>
              <w:rPr>
                <w:rFonts w:ascii="宋体" w:hAnsi="宋体"/>
                <w:color w:val="auto"/>
                <w:szCs w:val="21"/>
                <w:highlight w:val="none"/>
              </w:rPr>
            </w:pPr>
            <w:r>
              <w:rPr>
                <w:rFonts w:hint="eastAsia" w:ascii="宋体" w:hAnsi="宋体"/>
                <w:color w:val="auto"/>
                <w:szCs w:val="21"/>
                <w:highlight w:val="none"/>
              </w:rPr>
              <w:t>在签订合同时，中标人明确表示无需预付款或者主动要求降低预付款比例的，采购人可不适用上述关于预付款的规定；</w:t>
            </w:r>
          </w:p>
          <w:p w14:paraId="044039A5">
            <w:pPr>
              <w:spacing w:line="480" w:lineRule="exact"/>
              <w:rPr>
                <w:rFonts w:ascii="宋体" w:hAnsi="宋体"/>
                <w:color w:val="auto"/>
                <w:szCs w:val="21"/>
                <w:highlight w:val="none"/>
              </w:rPr>
            </w:pPr>
            <w:r>
              <w:rPr>
                <w:rFonts w:hint="eastAsia" w:ascii="宋体" w:hAnsi="宋体"/>
                <w:color w:val="auto"/>
                <w:szCs w:val="21"/>
                <w:highlight w:val="none"/>
              </w:rPr>
              <w:t>合同款一律通过银行非现金结算，结算方式：转账。</w:t>
            </w:r>
          </w:p>
        </w:tc>
      </w:tr>
      <w:tr w14:paraId="72DB406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59" w:hRule="atLeast"/>
          <w:jc w:val="center"/>
        </w:trPr>
        <w:tc>
          <w:tcPr>
            <w:tcW w:w="1044" w:type="dxa"/>
            <w:vAlign w:val="center"/>
          </w:tcPr>
          <w:p w14:paraId="064777F9">
            <w:pPr>
              <w:jc w:val="center"/>
              <w:rPr>
                <w:rFonts w:ascii="宋体" w:hAnsi="宋体"/>
                <w:color w:val="auto"/>
                <w:szCs w:val="21"/>
                <w:highlight w:val="none"/>
              </w:rPr>
            </w:pPr>
            <w:r>
              <w:rPr>
                <w:rFonts w:hint="eastAsia" w:ascii="宋体" w:hAnsi="宋体"/>
                <w:color w:val="auto"/>
                <w:szCs w:val="21"/>
                <w:highlight w:val="none"/>
              </w:rPr>
              <w:t>30</w:t>
            </w:r>
          </w:p>
        </w:tc>
        <w:tc>
          <w:tcPr>
            <w:tcW w:w="2533" w:type="dxa"/>
            <w:vAlign w:val="center"/>
          </w:tcPr>
          <w:p w14:paraId="1A0DD721">
            <w:pPr>
              <w:spacing w:line="420" w:lineRule="exact"/>
              <w:jc w:val="center"/>
              <w:rPr>
                <w:rFonts w:ascii="宋体" w:hAnsi="宋体"/>
                <w:bCs/>
                <w:color w:val="auto"/>
                <w:szCs w:val="21"/>
                <w:highlight w:val="none"/>
              </w:rPr>
            </w:pPr>
            <w:r>
              <w:rPr>
                <w:rFonts w:hint="eastAsia" w:ascii="宋体" w:hAnsi="宋体" w:cs="Arial"/>
                <w:bCs/>
                <w:color w:val="auto"/>
                <w:szCs w:val="21"/>
                <w:highlight w:val="none"/>
              </w:rPr>
              <w:t>项目所属行业</w:t>
            </w:r>
          </w:p>
        </w:tc>
        <w:tc>
          <w:tcPr>
            <w:tcW w:w="6127" w:type="dxa"/>
            <w:vAlign w:val="center"/>
          </w:tcPr>
          <w:p w14:paraId="1CDB7F5D">
            <w:pPr>
              <w:spacing w:line="480" w:lineRule="exact"/>
              <w:rPr>
                <w:rFonts w:ascii="宋体" w:hAnsi="宋体"/>
                <w:bCs/>
                <w:color w:val="auto"/>
                <w:szCs w:val="21"/>
                <w:highlight w:val="none"/>
              </w:rPr>
            </w:pPr>
            <w:r>
              <w:rPr>
                <w:rFonts w:hint="eastAsia" w:ascii="宋体" w:hAnsi="宋体" w:cs="Arial"/>
                <w:bCs/>
                <w:color w:val="auto"/>
                <w:szCs w:val="21"/>
                <w:highlight w:val="none"/>
              </w:rPr>
              <w:t>其他未列明行业</w:t>
            </w:r>
          </w:p>
        </w:tc>
      </w:tr>
    </w:tbl>
    <w:p w14:paraId="6DDEA966">
      <w:pPr>
        <w:spacing w:line="480" w:lineRule="exact"/>
        <w:ind w:firstLine="422"/>
        <w:rPr>
          <w:rFonts w:ascii="宋体" w:hAnsi="宋体"/>
          <w:b/>
          <w:color w:val="auto"/>
          <w:szCs w:val="21"/>
          <w:highlight w:val="none"/>
        </w:rPr>
      </w:pPr>
      <w:r>
        <w:rPr>
          <w:b/>
          <w:color w:val="auto"/>
          <w:szCs w:val="21"/>
          <w:highlight w:val="none"/>
        </w:rPr>
        <w:br w:type="page" w:clear="all"/>
      </w:r>
      <w:bookmarkEnd w:id="7"/>
      <w:bookmarkEnd w:id="8"/>
      <w:bookmarkEnd w:id="9"/>
      <w:bookmarkEnd w:id="10"/>
      <w:bookmarkEnd w:id="11"/>
      <w:bookmarkEnd w:id="12"/>
      <w:bookmarkEnd w:id="13"/>
      <w:bookmarkEnd w:id="14"/>
      <w:bookmarkEnd w:id="15"/>
      <w:bookmarkEnd w:id="16"/>
      <w:bookmarkEnd w:id="17"/>
      <w:r>
        <w:rPr>
          <w:rFonts w:hint="eastAsia" w:ascii="宋体" w:hAnsi="宋体"/>
          <w:b/>
          <w:color w:val="auto"/>
          <w:szCs w:val="21"/>
          <w:highlight w:val="none"/>
        </w:rPr>
        <w:t>二、总  则</w:t>
      </w:r>
    </w:p>
    <w:p w14:paraId="1AF7E08C">
      <w:pPr>
        <w:spacing w:line="480" w:lineRule="exact"/>
        <w:ind w:firstLine="420"/>
        <w:rPr>
          <w:rFonts w:ascii="宋体" w:hAnsi="宋体"/>
          <w:color w:val="auto"/>
          <w:szCs w:val="21"/>
          <w:highlight w:val="none"/>
        </w:rPr>
      </w:pPr>
      <w:r>
        <w:rPr>
          <w:rFonts w:hint="eastAsia" w:ascii="宋体" w:hAnsi="宋体"/>
          <w:color w:val="auto"/>
          <w:szCs w:val="21"/>
          <w:highlight w:val="none"/>
        </w:rPr>
        <w:t>1. 适用范围</w:t>
      </w:r>
    </w:p>
    <w:p w14:paraId="688031FE">
      <w:pPr>
        <w:spacing w:line="480" w:lineRule="exact"/>
        <w:ind w:firstLine="420"/>
        <w:rPr>
          <w:rFonts w:ascii="宋体" w:hAnsi="宋体"/>
          <w:color w:val="auto"/>
          <w:szCs w:val="21"/>
          <w:highlight w:val="none"/>
        </w:rPr>
      </w:pPr>
      <w:r>
        <w:rPr>
          <w:rFonts w:hint="eastAsia" w:ascii="宋体" w:hAnsi="宋体"/>
          <w:color w:val="auto"/>
          <w:szCs w:val="21"/>
          <w:highlight w:val="none"/>
        </w:rPr>
        <w:t>1.1 本次项目仅适用于招标文件中所叙述项目的服务采购。</w:t>
      </w:r>
    </w:p>
    <w:p w14:paraId="7A4E2145">
      <w:pPr>
        <w:spacing w:line="480" w:lineRule="exact"/>
        <w:ind w:firstLine="420"/>
        <w:rPr>
          <w:rFonts w:ascii="宋体" w:hAnsi="宋体"/>
          <w:color w:val="auto"/>
          <w:szCs w:val="21"/>
          <w:highlight w:val="none"/>
        </w:rPr>
      </w:pPr>
      <w:r>
        <w:rPr>
          <w:rFonts w:hint="eastAsia" w:ascii="宋体" w:hAnsi="宋体"/>
          <w:color w:val="auto"/>
          <w:szCs w:val="21"/>
          <w:highlight w:val="none"/>
        </w:rPr>
        <w:t>2. 定义</w:t>
      </w:r>
    </w:p>
    <w:p w14:paraId="44AE25DA">
      <w:pPr>
        <w:spacing w:line="480" w:lineRule="exact"/>
        <w:ind w:firstLine="420"/>
        <w:rPr>
          <w:rFonts w:ascii="宋体" w:hAnsi="宋体"/>
          <w:color w:val="auto"/>
          <w:szCs w:val="21"/>
          <w:highlight w:val="none"/>
        </w:rPr>
      </w:pPr>
      <w:r>
        <w:rPr>
          <w:rFonts w:hint="eastAsia" w:ascii="宋体" w:hAnsi="宋体"/>
          <w:color w:val="auto"/>
          <w:szCs w:val="21"/>
          <w:highlight w:val="none"/>
        </w:rPr>
        <w:t>2.1 “采购人”、“采购单位”系指本次采购项目的业主方。</w:t>
      </w:r>
    </w:p>
    <w:p w14:paraId="3F409A51">
      <w:pPr>
        <w:spacing w:line="480" w:lineRule="exact"/>
        <w:ind w:firstLine="420"/>
        <w:rPr>
          <w:rFonts w:ascii="宋体" w:hAnsi="宋体"/>
          <w:color w:val="auto"/>
          <w:szCs w:val="21"/>
          <w:highlight w:val="none"/>
        </w:rPr>
      </w:pPr>
      <w:r>
        <w:rPr>
          <w:rFonts w:hint="eastAsia" w:ascii="宋体" w:hAnsi="宋体"/>
          <w:color w:val="auto"/>
          <w:szCs w:val="21"/>
          <w:highlight w:val="none"/>
        </w:rPr>
        <w:t>2.2 “采购代理机构”系指本次招标采购项目活动组织方。</w:t>
      </w:r>
    </w:p>
    <w:p w14:paraId="763F7903">
      <w:pPr>
        <w:spacing w:line="480" w:lineRule="exact"/>
        <w:ind w:firstLine="420"/>
        <w:rPr>
          <w:rFonts w:ascii="宋体" w:hAnsi="宋体"/>
          <w:color w:val="auto"/>
          <w:szCs w:val="21"/>
          <w:highlight w:val="none"/>
        </w:rPr>
      </w:pPr>
      <w:r>
        <w:rPr>
          <w:rFonts w:hint="eastAsia" w:ascii="宋体" w:hAnsi="宋体"/>
          <w:color w:val="auto"/>
          <w:szCs w:val="21"/>
          <w:highlight w:val="none"/>
        </w:rPr>
        <w:t>2.3 “投标人”系指获取了本招标文件，且已经提交或者准备提交本次投标文件的供应商。</w:t>
      </w:r>
    </w:p>
    <w:p w14:paraId="03888747">
      <w:pPr>
        <w:spacing w:line="480" w:lineRule="exact"/>
        <w:ind w:firstLine="420"/>
        <w:rPr>
          <w:rFonts w:ascii="宋体" w:hAnsi="宋体"/>
          <w:color w:val="auto"/>
          <w:szCs w:val="21"/>
          <w:highlight w:val="none"/>
        </w:rPr>
      </w:pPr>
      <w:r>
        <w:rPr>
          <w:rFonts w:hint="eastAsia" w:ascii="宋体" w:hAnsi="宋体"/>
          <w:color w:val="auto"/>
          <w:szCs w:val="21"/>
          <w:highlight w:val="none"/>
        </w:rPr>
        <w:t>2.4 “投标文件有效期” 系指本次采购项目投标截止之日起至合同签订之日止的期限。</w:t>
      </w:r>
    </w:p>
    <w:p w14:paraId="7D9CB404">
      <w:pPr>
        <w:spacing w:line="480" w:lineRule="exact"/>
        <w:ind w:firstLine="420"/>
        <w:rPr>
          <w:rFonts w:ascii="宋体" w:hAnsi="宋体"/>
          <w:color w:val="auto"/>
          <w:szCs w:val="21"/>
          <w:highlight w:val="none"/>
        </w:rPr>
      </w:pPr>
      <w:r>
        <w:rPr>
          <w:rFonts w:hint="eastAsia" w:ascii="宋体" w:hAnsi="宋体"/>
          <w:color w:val="auto"/>
          <w:szCs w:val="21"/>
          <w:highlight w:val="none"/>
        </w:rPr>
        <w:t>2.5 不可抗力：不可预见、不能避免并且不能克服的客观情况。</w:t>
      </w:r>
    </w:p>
    <w:p w14:paraId="48C26CD6">
      <w:pPr>
        <w:spacing w:line="480" w:lineRule="exact"/>
        <w:ind w:firstLine="420"/>
        <w:rPr>
          <w:rFonts w:ascii="宋体" w:hAnsi="宋体"/>
          <w:color w:val="auto"/>
          <w:szCs w:val="21"/>
          <w:highlight w:val="none"/>
        </w:rPr>
      </w:pPr>
      <w:r>
        <w:rPr>
          <w:rFonts w:hint="eastAsia" w:ascii="宋体" w:hAnsi="宋体"/>
          <w:color w:val="auto"/>
          <w:szCs w:val="21"/>
          <w:highlight w:val="none"/>
        </w:rPr>
        <w:t>3. 申请人的资格要求：详见招标公告</w:t>
      </w:r>
    </w:p>
    <w:p w14:paraId="5692F76D">
      <w:pPr>
        <w:spacing w:line="480" w:lineRule="exact"/>
        <w:ind w:firstLine="420"/>
        <w:rPr>
          <w:rFonts w:ascii="宋体" w:hAnsi="宋体"/>
          <w:color w:val="auto"/>
          <w:szCs w:val="21"/>
          <w:highlight w:val="none"/>
        </w:rPr>
      </w:pPr>
      <w:r>
        <w:rPr>
          <w:rFonts w:hint="eastAsia" w:ascii="宋体" w:hAnsi="宋体"/>
          <w:color w:val="auto"/>
          <w:szCs w:val="21"/>
          <w:highlight w:val="none"/>
        </w:rPr>
        <w:t>4．招标文件的构成</w:t>
      </w:r>
    </w:p>
    <w:p w14:paraId="51CCE4B4">
      <w:pPr>
        <w:spacing w:line="480" w:lineRule="exact"/>
        <w:ind w:firstLine="420"/>
        <w:rPr>
          <w:rFonts w:ascii="宋体" w:hAnsi="宋体"/>
          <w:color w:val="auto"/>
          <w:szCs w:val="21"/>
          <w:highlight w:val="none"/>
        </w:rPr>
      </w:pPr>
      <w:r>
        <w:rPr>
          <w:rFonts w:hint="eastAsia" w:ascii="宋体" w:hAnsi="宋体"/>
          <w:color w:val="auto"/>
          <w:szCs w:val="21"/>
          <w:highlight w:val="none"/>
        </w:rPr>
        <w:t>4.1招标文件用以阐明招标项目所需的资质、技术、服务及报价等要求、招标投标程序、有关规定和注意事项以及合同主要条款等。本招标文件包括以下内容：</w:t>
      </w:r>
    </w:p>
    <w:p w14:paraId="103C00C4">
      <w:pPr>
        <w:spacing w:line="480" w:lineRule="exact"/>
        <w:ind w:firstLine="420"/>
        <w:rPr>
          <w:rFonts w:ascii="宋体" w:hAnsi="宋体"/>
          <w:color w:val="auto"/>
          <w:szCs w:val="21"/>
          <w:highlight w:val="none"/>
        </w:rPr>
      </w:pPr>
      <w:r>
        <w:rPr>
          <w:rFonts w:hint="eastAsia" w:ascii="宋体" w:hAnsi="宋体"/>
          <w:color w:val="auto"/>
          <w:szCs w:val="21"/>
          <w:highlight w:val="none"/>
        </w:rPr>
        <w:t>4.1.1招标公告；</w:t>
      </w:r>
    </w:p>
    <w:p w14:paraId="0E3838B8">
      <w:pPr>
        <w:spacing w:line="480" w:lineRule="exact"/>
        <w:ind w:firstLine="420"/>
        <w:rPr>
          <w:rFonts w:ascii="宋体" w:hAnsi="宋体"/>
          <w:color w:val="auto"/>
          <w:szCs w:val="21"/>
          <w:highlight w:val="none"/>
        </w:rPr>
      </w:pPr>
      <w:r>
        <w:rPr>
          <w:rFonts w:hint="eastAsia" w:ascii="宋体" w:hAnsi="宋体"/>
          <w:color w:val="auto"/>
          <w:szCs w:val="21"/>
          <w:highlight w:val="none"/>
        </w:rPr>
        <w:t>4.1.2投标人须知；</w:t>
      </w:r>
    </w:p>
    <w:p w14:paraId="41990EAE">
      <w:pPr>
        <w:spacing w:line="480" w:lineRule="exact"/>
        <w:ind w:firstLine="420"/>
        <w:rPr>
          <w:rFonts w:ascii="宋体" w:hAnsi="宋体"/>
          <w:color w:val="auto"/>
          <w:szCs w:val="21"/>
          <w:highlight w:val="none"/>
        </w:rPr>
      </w:pPr>
      <w:r>
        <w:rPr>
          <w:rFonts w:hint="eastAsia" w:ascii="宋体" w:hAnsi="宋体"/>
          <w:color w:val="auto"/>
          <w:szCs w:val="21"/>
          <w:highlight w:val="none"/>
        </w:rPr>
        <w:t>4.1.3招标内容及要求；</w:t>
      </w:r>
    </w:p>
    <w:p w14:paraId="356C77F6">
      <w:pPr>
        <w:spacing w:line="480" w:lineRule="exact"/>
        <w:ind w:firstLine="420"/>
        <w:rPr>
          <w:rFonts w:ascii="宋体" w:hAnsi="宋体"/>
          <w:color w:val="auto"/>
          <w:szCs w:val="21"/>
          <w:highlight w:val="none"/>
        </w:rPr>
      </w:pPr>
      <w:r>
        <w:rPr>
          <w:rFonts w:hint="eastAsia" w:ascii="宋体" w:hAnsi="宋体"/>
          <w:color w:val="auto"/>
          <w:szCs w:val="21"/>
          <w:highlight w:val="none"/>
        </w:rPr>
        <w:t>4.1.4评标办法及评分标准；</w:t>
      </w:r>
    </w:p>
    <w:p w14:paraId="541775D2">
      <w:pPr>
        <w:spacing w:line="480" w:lineRule="exact"/>
        <w:ind w:firstLine="420"/>
        <w:rPr>
          <w:rFonts w:ascii="宋体" w:hAnsi="宋体"/>
          <w:color w:val="auto"/>
          <w:szCs w:val="21"/>
          <w:highlight w:val="none"/>
        </w:rPr>
      </w:pPr>
      <w:r>
        <w:rPr>
          <w:rFonts w:hint="eastAsia" w:ascii="宋体" w:hAnsi="宋体"/>
          <w:color w:val="auto"/>
          <w:szCs w:val="21"/>
          <w:highlight w:val="none"/>
        </w:rPr>
        <w:t>4.1.5合同主要条款；</w:t>
      </w:r>
    </w:p>
    <w:p w14:paraId="643DDB93">
      <w:pPr>
        <w:spacing w:line="480" w:lineRule="exact"/>
        <w:ind w:firstLine="420"/>
        <w:rPr>
          <w:rFonts w:ascii="宋体" w:hAnsi="宋体"/>
          <w:color w:val="auto"/>
          <w:szCs w:val="21"/>
          <w:highlight w:val="none"/>
        </w:rPr>
      </w:pPr>
      <w:r>
        <w:rPr>
          <w:rFonts w:hint="eastAsia" w:ascii="宋体" w:hAnsi="宋体"/>
          <w:color w:val="auto"/>
          <w:szCs w:val="21"/>
          <w:highlight w:val="none"/>
        </w:rPr>
        <w:t>4.1.6投标文件格式。</w:t>
      </w:r>
    </w:p>
    <w:p w14:paraId="335C0121">
      <w:pPr>
        <w:spacing w:line="480" w:lineRule="exact"/>
        <w:ind w:firstLine="420"/>
        <w:rPr>
          <w:rFonts w:ascii="宋体" w:hAnsi="宋体"/>
          <w:color w:val="auto"/>
          <w:szCs w:val="21"/>
          <w:highlight w:val="none"/>
        </w:rPr>
      </w:pPr>
      <w:r>
        <w:rPr>
          <w:rFonts w:hint="eastAsia" w:ascii="宋体" w:hAnsi="宋体"/>
          <w:color w:val="auto"/>
          <w:szCs w:val="21"/>
          <w:highlight w:val="none"/>
        </w:rPr>
        <w:t>4.2投标人应认真阅读和充分理解招标文件中所有的事项、格式条款和规范要求。投标人领取招标文件并参加投标即视同认可招标文件内所有内容。投标人没有对招标文件全面做出实质性响应是投标人的风险。没有按照招标文件要求作出实质性响应的投标文件将被拒绝。</w:t>
      </w:r>
    </w:p>
    <w:p w14:paraId="0C1DA638">
      <w:pPr>
        <w:spacing w:line="480" w:lineRule="exact"/>
        <w:ind w:firstLine="420"/>
        <w:rPr>
          <w:rFonts w:ascii="宋体" w:hAnsi="宋体"/>
          <w:color w:val="auto"/>
          <w:szCs w:val="21"/>
          <w:highlight w:val="none"/>
        </w:rPr>
      </w:pPr>
      <w:r>
        <w:rPr>
          <w:rFonts w:hint="eastAsia" w:ascii="宋体" w:hAnsi="宋体"/>
          <w:color w:val="auto"/>
          <w:szCs w:val="21"/>
          <w:highlight w:val="none"/>
        </w:rPr>
        <w:t>4.3 勘察现场</w:t>
      </w:r>
    </w:p>
    <w:p w14:paraId="4DDF5883">
      <w:pPr>
        <w:spacing w:line="480" w:lineRule="exact"/>
        <w:ind w:firstLine="420"/>
        <w:rPr>
          <w:rFonts w:ascii="宋体" w:hAnsi="宋体"/>
          <w:color w:val="auto"/>
          <w:szCs w:val="21"/>
          <w:highlight w:val="none"/>
        </w:rPr>
      </w:pPr>
      <w:r>
        <w:rPr>
          <w:rFonts w:hint="eastAsia" w:ascii="宋体" w:hAnsi="宋体"/>
          <w:color w:val="auto"/>
          <w:szCs w:val="21"/>
          <w:highlight w:val="none"/>
        </w:rPr>
        <w:t>4.3.1 投标人踏勘现场所发生的费用自理；采购人向投标人提供的有关现场的数据和资料，是采购人现有的能被投标人利用的资料，采购人对投标人做出的任何推论、理解和结论均不负责任；投标人进入采购人项目现场进行踏勘的，不得使采购人承担有关的责任和蒙受损失；投标人应承担踏勘现场的责任和风险。</w:t>
      </w:r>
    </w:p>
    <w:p w14:paraId="59F25094">
      <w:pPr>
        <w:spacing w:line="480" w:lineRule="exact"/>
        <w:ind w:firstLine="420"/>
        <w:rPr>
          <w:rFonts w:ascii="宋体" w:hAnsi="宋体"/>
          <w:color w:val="auto"/>
          <w:szCs w:val="21"/>
          <w:highlight w:val="none"/>
        </w:rPr>
      </w:pPr>
      <w:r>
        <w:rPr>
          <w:rFonts w:hint="eastAsia" w:ascii="宋体" w:hAnsi="宋体"/>
          <w:color w:val="auto"/>
          <w:szCs w:val="21"/>
          <w:highlight w:val="none"/>
        </w:rPr>
        <w:t>4.3.2 无论投标人踏勘与否，都将被视为熟悉履行该项目有关的一切情况，并承担一切与投标有关的风险、责任和义务。</w:t>
      </w:r>
    </w:p>
    <w:p w14:paraId="7732AC87">
      <w:pPr>
        <w:spacing w:line="480" w:lineRule="exact"/>
        <w:ind w:firstLine="420"/>
        <w:rPr>
          <w:rFonts w:ascii="宋体" w:hAnsi="宋体"/>
          <w:color w:val="auto"/>
          <w:szCs w:val="21"/>
          <w:highlight w:val="none"/>
        </w:rPr>
      </w:pPr>
      <w:r>
        <w:rPr>
          <w:rFonts w:hint="eastAsia" w:ascii="宋体" w:hAnsi="宋体"/>
          <w:color w:val="auto"/>
          <w:szCs w:val="21"/>
          <w:highlight w:val="none"/>
        </w:rPr>
        <w:t>4.3.3 现场踏勘由各投标人自行实施，采购人不统一组织现场踏勘。</w:t>
      </w:r>
    </w:p>
    <w:p w14:paraId="516BAB62">
      <w:pPr>
        <w:spacing w:line="480" w:lineRule="exact"/>
        <w:ind w:firstLine="420"/>
        <w:rPr>
          <w:rFonts w:ascii="宋体" w:hAnsi="宋体"/>
          <w:color w:val="auto"/>
          <w:szCs w:val="21"/>
          <w:highlight w:val="none"/>
        </w:rPr>
      </w:pPr>
      <w:r>
        <w:rPr>
          <w:rFonts w:hint="eastAsia" w:ascii="宋体" w:hAnsi="宋体"/>
          <w:color w:val="auto"/>
          <w:szCs w:val="21"/>
          <w:highlight w:val="none"/>
        </w:rPr>
        <w:t>4.3.4 供应商应在现场勘察时，熟悉现场及周围交通道路等情况，以获得一切可能影响其投标的直接资料。供应商中标后，不得以不完全了解现场情况为理由而向采购单位提出任何索赔的要求，对此采购单位不承担任何责任并将不作任何答复与考虑。</w:t>
      </w:r>
    </w:p>
    <w:p w14:paraId="29EA0A75">
      <w:pPr>
        <w:spacing w:line="480" w:lineRule="exact"/>
        <w:ind w:firstLine="422"/>
        <w:rPr>
          <w:rFonts w:ascii="宋体" w:hAnsi="宋体"/>
          <w:b/>
          <w:color w:val="auto"/>
          <w:szCs w:val="21"/>
          <w:highlight w:val="none"/>
        </w:rPr>
      </w:pPr>
      <w:r>
        <w:rPr>
          <w:rFonts w:hint="eastAsia" w:ascii="宋体" w:hAnsi="宋体"/>
          <w:b/>
          <w:color w:val="auto"/>
          <w:szCs w:val="21"/>
          <w:highlight w:val="none"/>
        </w:rPr>
        <w:t>三、招标文件的澄清、修改及补充</w:t>
      </w:r>
    </w:p>
    <w:p w14:paraId="201522CD">
      <w:pPr>
        <w:spacing w:line="480" w:lineRule="exact"/>
        <w:ind w:firstLine="420"/>
        <w:rPr>
          <w:rFonts w:ascii="宋体" w:hAnsi="宋体"/>
          <w:color w:val="auto"/>
          <w:szCs w:val="21"/>
          <w:highlight w:val="none"/>
        </w:rPr>
      </w:pPr>
      <w:r>
        <w:rPr>
          <w:rFonts w:hint="eastAsia" w:ascii="宋体" w:hAnsi="宋体"/>
          <w:color w:val="auto"/>
          <w:szCs w:val="21"/>
          <w:highlight w:val="none"/>
        </w:rPr>
        <w:t>5.1投标人在收到招标文件后，如有疑问需要澄清，应以规定的时间和方式向采购人或代理机构提出，如在规定期限内未递交疑问或未按规定提交投标疑问的，则视为该投标人无疑问。</w:t>
      </w:r>
    </w:p>
    <w:p w14:paraId="371141AF">
      <w:pPr>
        <w:spacing w:line="480" w:lineRule="exact"/>
        <w:ind w:firstLine="420"/>
        <w:rPr>
          <w:rFonts w:ascii="宋体" w:hAnsi="宋体"/>
          <w:color w:val="auto"/>
          <w:szCs w:val="21"/>
          <w:highlight w:val="none"/>
        </w:rPr>
      </w:pPr>
      <w:r>
        <w:rPr>
          <w:rFonts w:hint="eastAsia" w:ascii="宋体" w:hAnsi="宋体"/>
          <w:color w:val="auto"/>
          <w:szCs w:val="21"/>
          <w:highlight w:val="none"/>
        </w:rPr>
        <w:t>5.2 在投标截止日期前，采购单位对招标文件进行澄清或者修改的，通过“苏采云”系统及盐城市政府采购网等相关网站发布澄清公告或者修改的内容。澄清或者修改的内容以所发布的本项目的“更正（澄清）公告”的形式通知所有获取招标文件的潜在投标人。发布本项目的“更正（澄清）公告”后采购代理机构已尽通知义务。敬请各潜在投标人关注本项目的“更正（澄清）公告”，并通过“苏采云”系统重新下载更正（澄清）后的采购文件（后缀名为“.kedt”），离线编制投标文件，否则，将自行承担相应的风险。</w:t>
      </w:r>
    </w:p>
    <w:p w14:paraId="73DC04E7">
      <w:pPr>
        <w:spacing w:line="480" w:lineRule="exact"/>
        <w:ind w:firstLine="420"/>
        <w:rPr>
          <w:rFonts w:ascii="宋体" w:hAnsi="宋体"/>
          <w:color w:val="auto"/>
          <w:szCs w:val="21"/>
          <w:highlight w:val="none"/>
        </w:rPr>
      </w:pPr>
      <w:r>
        <w:rPr>
          <w:rFonts w:hint="eastAsia" w:ascii="宋体" w:hAnsi="宋体"/>
          <w:color w:val="auto"/>
          <w:szCs w:val="21"/>
          <w:highlight w:val="none"/>
        </w:rPr>
        <w:t>5.3 标书以外的内容，一律拒绝答复。</w:t>
      </w:r>
    </w:p>
    <w:p w14:paraId="44AE25CB">
      <w:pPr>
        <w:spacing w:line="480" w:lineRule="exact"/>
        <w:ind w:firstLine="420"/>
        <w:rPr>
          <w:rFonts w:ascii="宋体" w:hAnsi="宋体"/>
          <w:color w:val="auto"/>
          <w:szCs w:val="21"/>
          <w:highlight w:val="none"/>
        </w:rPr>
      </w:pPr>
      <w:r>
        <w:rPr>
          <w:rFonts w:hint="eastAsia" w:ascii="宋体" w:hAnsi="宋体"/>
          <w:color w:val="auto"/>
          <w:szCs w:val="21"/>
          <w:highlight w:val="none"/>
        </w:rPr>
        <w:t>5.4 投标人对采购人提供的采购文件所做出的推论、解释和结论，采购人概不负责。投标人由于对招标文件的任何推论和误解以及采购人对有关问题的口头解释所造成的后果，均由投标人自负。</w:t>
      </w:r>
    </w:p>
    <w:p w14:paraId="5B86779A">
      <w:pPr>
        <w:spacing w:line="480" w:lineRule="exact"/>
        <w:ind w:firstLine="420"/>
        <w:rPr>
          <w:rFonts w:ascii="宋体" w:hAnsi="宋体"/>
          <w:color w:val="auto"/>
          <w:szCs w:val="21"/>
          <w:highlight w:val="none"/>
        </w:rPr>
      </w:pPr>
      <w:r>
        <w:rPr>
          <w:rFonts w:hint="eastAsia" w:ascii="宋体" w:hAnsi="宋体"/>
          <w:color w:val="auto"/>
          <w:szCs w:val="21"/>
          <w:highlight w:val="none"/>
        </w:rPr>
        <w:t>5.5 本采购文件的最终解释权归采购单位所有。</w:t>
      </w:r>
    </w:p>
    <w:p w14:paraId="2A2A845E">
      <w:pPr>
        <w:spacing w:line="480" w:lineRule="exact"/>
        <w:ind w:firstLine="422"/>
        <w:rPr>
          <w:rFonts w:ascii="宋体" w:hAnsi="宋体"/>
          <w:b/>
          <w:color w:val="auto"/>
          <w:szCs w:val="21"/>
          <w:highlight w:val="none"/>
        </w:rPr>
      </w:pPr>
      <w:r>
        <w:rPr>
          <w:rFonts w:hint="eastAsia" w:ascii="宋体" w:hAnsi="宋体"/>
          <w:b/>
          <w:color w:val="auto"/>
          <w:szCs w:val="21"/>
          <w:highlight w:val="none"/>
        </w:rPr>
        <w:t>四、投标文件</w:t>
      </w:r>
    </w:p>
    <w:p w14:paraId="214250D1">
      <w:pPr>
        <w:spacing w:line="480" w:lineRule="exact"/>
        <w:ind w:firstLine="420"/>
        <w:rPr>
          <w:rFonts w:ascii="宋体" w:hAnsi="宋体"/>
          <w:color w:val="auto"/>
          <w:szCs w:val="21"/>
          <w:highlight w:val="none"/>
        </w:rPr>
      </w:pPr>
      <w:r>
        <w:rPr>
          <w:rFonts w:hint="eastAsia" w:ascii="宋体" w:hAnsi="宋体"/>
          <w:color w:val="auto"/>
          <w:szCs w:val="21"/>
          <w:highlight w:val="none"/>
        </w:rPr>
        <w:t>6．投标文件的编制</w:t>
      </w:r>
    </w:p>
    <w:p w14:paraId="6FCFCD8B">
      <w:pPr>
        <w:spacing w:line="480" w:lineRule="exact"/>
        <w:ind w:firstLine="420"/>
        <w:rPr>
          <w:rFonts w:ascii="宋体" w:hAnsi="宋体"/>
          <w:color w:val="auto"/>
          <w:szCs w:val="21"/>
          <w:highlight w:val="none"/>
        </w:rPr>
      </w:pPr>
      <w:r>
        <w:rPr>
          <w:rFonts w:hint="eastAsia" w:ascii="宋体" w:hAnsi="宋体"/>
          <w:color w:val="auto"/>
          <w:szCs w:val="21"/>
          <w:highlight w:val="none"/>
        </w:rPr>
        <w:t>6.1要求</w:t>
      </w:r>
    </w:p>
    <w:p w14:paraId="2DB5E7D1">
      <w:pPr>
        <w:spacing w:line="480" w:lineRule="exact"/>
        <w:ind w:firstLine="420"/>
        <w:rPr>
          <w:rFonts w:ascii="宋体" w:hAnsi="宋体"/>
          <w:color w:val="auto"/>
          <w:szCs w:val="21"/>
          <w:highlight w:val="none"/>
        </w:rPr>
      </w:pPr>
      <w:r>
        <w:rPr>
          <w:rFonts w:hint="eastAsia" w:ascii="宋体" w:hAnsi="宋体"/>
          <w:color w:val="auto"/>
          <w:szCs w:val="21"/>
          <w:highlight w:val="none"/>
        </w:rPr>
        <w:t>6.1.1投标人应仔细阅读招标文件的所有内容，按招标文件的要求提供投标文件，并保证所提供的全部资料的真实性，以使其投标对招标文件作出实质性响应，否则，其投标可能被拒绝。</w:t>
      </w:r>
    </w:p>
    <w:p w14:paraId="36FE3CC6">
      <w:pPr>
        <w:spacing w:line="480" w:lineRule="exact"/>
        <w:ind w:firstLine="420"/>
        <w:rPr>
          <w:rFonts w:ascii="宋体" w:hAnsi="宋体"/>
          <w:color w:val="auto"/>
          <w:szCs w:val="21"/>
          <w:highlight w:val="none"/>
        </w:rPr>
      </w:pPr>
      <w:r>
        <w:rPr>
          <w:rFonts w:hint="eastAsia" w:ascii="宋体" w:hAnsi="宋体"/>
          <w:color w:val="auto"/>
          <w:szCs w:val="21"/>
          <w:highlight w:val="none"/>
        </w:rPr>
        <w:t>6.1.2无论投标过程中的做法和结果如何，投标人自行承担所有与参加投标有关的全部费用。</w:t>
      </w:r>
    </w:p>
    <w:p w14:paraId="06E70948">
      <w:pPr>
        <w:spacing w:line="480" w:lineRule="exact"/>
        <w:ind w:firstLine="420"/>
        <w:rPr>
          <w:rFonts w:ascii="宋体" w:hAnsi="宋体"/>
          <w:color w:val="auto"/>
          <w:szCs w:val="21"/>
          <w:highlight w:val="none"/>
        </w:rPr>
      </w:pPr>
      <w:r>
        <w:rPr>
          <w:rFonts w:hint="eastAsia" w:ascii="宋体" w:hAnsi="宋体"/>
          <w:color w:val="auto"/>
          <w:szCs w:val="21"/>
          <w:highlight w:val="none"/>
        </w:rPr>
        <w:t xml:space="preserve">6.2投标语言及计量单位  </w:t>
      </w:r>
    </w:p>
    <w:p w14:paraId="5B9B1544">
      <w:pPr>
        <w:spacing w:line="480" w:lineRule="exact"/>
        <w:ind w:firstLine="420"/>
        <w:rPr>
          <w:rFonts w:ascii="宋体" w:hAnsi="宋体"/>
          <w:color w:val="auto"/>
          <w:szCs w:val="21"/>
          <w:highlight w:val="none"/>
        </w:rPr>
      </w:pPr>
      <w:r>
        <w:rPr>
          <w:rFonts w:hint="eastAsia" w:ascii="宋体" w:hAnsi="宋体"/>
          <w:color w:val="auto"/>
          <w:szCs w:val="21"/>
          <w:highlight w:val="none"/>
        </w:rPr>
        <w:t>6.2.1投标文件以及投标人与采购单位就有关投标事宜的所有来往函电均应使用简体中文书写。</w:t>
      </w:r>
    </w:p>
    <w:p w14:paraId="6BE48303">
      <w:pPr>
        <w:spacing w:line="480" w:lineRule="exact"/>
        <w:ind w:firstLine="420"/>
        <w:rPr>
          <w:rFonts w:ascii="宋体" w:hAnsi="宋体"/>
          <w:color w:val="auto"/>
          <w:szCs w:val="21"/>
          <w:highlight w:val="none"/>
        </w:rPr>
      </w:pPr>
      <w:r>
        <w:rPr>
          <w:rFonts w:hint="eastAsia" w:ascii="宋体" w:hAnsi="宋体"/>
          <w:color w:val="auto"/>
          <w:szCs w:val="21"/>
          <w:highlight w:val="none"/>
        </w:rPr>
        <w:t>6.2.2关于投标计量单位，招标文件已有明确规定的，使用招标文件规定的计量单位；招标文件没有规定的，应采用中华人民共和国法定计量单位。</w:t>
      </w:r>
    </w:p>
    <w:p w14:paraId="787FB7A4">
      <w:pPr>
        <w:spacing w:line="480" w:lineRule="exact"/>
        <w:ind w:firstLine="420"/>
        <w:rPr>
          <w:rFonts w:ascii="宋体" w:hAnsi="宋体"/>
          <w:color w:val="auto"/>
          <w:szCs w:val="21"/>
          <w:highlight w:val="none"/>
        </w:rPr>
      </w:pPr>
      <w:r>
        <w:rPr>
          <w:rFonts w:hint="eastAsia" w:ascii="宋体" w:hAnsi="宋体"/>
          <w:color w:val="auto"/>
          <w:szCs w:val="21"/>
          <w:highlight w:val="none"/>
        </w:rPr>
        <w:t>6.2.3原版为外文的证书类文件，但应当提供中文翻译文件并加盖投标人公章。必要时评标委员会可以要求投标人提供附有公证书的中文翻译文件或者与原版文件签章相一致的中文翻译文件，否则，投标人的投标文件将作无效投标处理。</w:t>
      </w:r>
    </w:p>
    <w:p w14:paraId="53E24BD9">
      <w:pPr>
        <w:spacing w:line="480" w:lineRule="exact"/>
        <w:ind w:firstLine="420"/>
        <w:rPr>
          <w:rFonts w:ascii="宋体" w:hAnsi="宋体"/>
          <w:color w:val="auto"/>
          <w:szCs w:val="21"/>
          <w:highlight w:val="none"/>
        </w:rPr>
      </w:pPr>
      <w:r>
        <w:rPr>
          <w:rFonts w:hint="eastAsia" w:ascii="宋体" w:hAnsi="宋体"/>
          <w:color w:val="auto"/>
          <w:szCs w:val="21"/>
          <w:highlight w:val="none"/>
        </w:rPr>
        <w:t>6.2.4翻译的中文文件与外文文件如果出现差异和矛盾时，以中文为准。但不能故意错误翻译，否则，投标人的投标文件将作为无效投标处理。</w:t>
      </w:r>
    </w:p>
    <w:p w14:paraId="2F08D922">
      <w:pPr>
        <w:spacing w:line="480" w:lineRule="exact"/>
        <w:ind w:firstLine="420"/>
        <w:rPr>
          <w:rFonts w:ascii="宋体" w:hAnsi="宋体"/>
          <w:color w:val="auto"/>
          <w:szCs w:val="21"/>
          <w:highlight w:val="none"/>
        </w:rPr>
      </w:pPr>
      <w:r>
        <w:rPr>
          <w:rFonts w:hint="eastAsia" w:ascii="宋体" w:hAnsi="宋体"/>
          <w:color w:val="auto"/>
          <w:szCs w:val="21"/>
          <w:highlight w:val="none"/>
        </w:rPr>
        <w:t>6.3电子投标文件其他要求</w:t>
      </w:r>
    </w:p>
    <w:p w14:paraId="126BC844">
      <w:pPr>
        <w:spacing w:line="480" w:lineRule="exact"/>
        <w:ind w:firstLine="420"/>
        <w:rPr>
          <w:rFonts w:ascii="宋体" w:hAnsi="宋体"/>
          <w:color w:val="auto"/>
          <w:szCs w:val="21"/>
          <w:highlight w:val="none"/>
        </w:rPr>
      </w:pPr>
      <w:r>
        <w:rPr>
          <w:rFonts w:hint="eastAsia" w:ascii="宋体" w:hAnsi="宋体"/>
          <w:color w:val="auto"/>
          <w:szCs w:val="21"/>
          <w:highlight w:val="none"/>
        </w:rPr>
        <w:t>6.3.1电子招标投标交易平台（即“苏采云”系统）相关要求是本招标文件的组成部分。</w:t>
      </w:r>
    </w:p>
    <w:p w14:paraId="3182BFE7">
      <w:pPr>
        <w:spacing w:line="480" w:lineRule="exact"/>
        <w:ind w:firstLine="420"/>
        <w:rPr>
          <w:rFonts w:ascii="宋体" w:hAnsi="宋体"/>
          <w:color w:val="auto"/>
          <w:szCs w:val="21"/>
          <w:highlight w:val="none"/>
        </w:rPr>
      </w:pPr>
      <w:r>
        <w:rPr>
          <w:rFonts w:hint="eastAsia" w:ascii="宋体" w:hAnsi="宋体"/>
          <w:color w:val="auto"/>
          <w:szCs w:val="21"/>
          <w:highlight w:val="none"/>
        </w:rPr>
        <w:t>6.3.2投标人应对CA证书妥善保管，如被他人盗用投标，因此带来的结果均由投标人自行承担。</w:t>
      </w:r>
    </w:p>
    <w:p w14:paraId="1294BDEA">
      <w:pPr>
        <w:spacing w:line="480" w:lineRule="exact"/>
        <w:ind w:firstLine="420"/>
        <w:rPr>
          <w:rFonts w:ascii="宋体" w:hAnsi="宋体"/>
          <w:color w:val="auto"/>
          <w:szCs w:val="21"/>
          <w:highlight w:val="none"/>
        </w:rPr>
      </w:pPr>
      <w:r>
        <w:rPr>
          <w:rFonts w:hint="eastAsia" w:ascii="宋体" w:hAnsi="宋体"/>
          <w:color w:val="auto"/>
          <w:szCs w:val="21"/>
          <w:highlight w:val="none"/>
        </w:rPr>
        <w:t>6.3.3投标人应当对招标文件提出的实质性要求和条件作出实质性响应，并在电子投标系统逐条应答。</w:t>
      </w:r>
    </w:p>
    <w:p w14:paraId="396327CD">
      <w:pPr>
        <w:spacing w:line="480" w:lineRule="exact"/>
        <w:ind w:firstLine="420"/>
        <w:rPr>
          <w:rFonts w:ascii="宋体" w:hAnsi="宋体"/>
          <w:color w:val="auto"/>
          <w:szCs w:val="21"/>
          <w:highlight w:val="none"/>
        </w:rPr>
      </w:pPr>
      <w:r>
        <w:rPr>
          <w:rFonts w:hint="eastAsia" w:ascii="宋体" w:hAnsi="宋体"/>
          <w:color w:val="auto"/>
          <w:szCs w:val="21"/>
          <w:highlight w:val="none"/>
        </w:rPr>
        <w:t>6.4投标人应当在招标文件要求提交投标文件的截止时间前，将投标文件提交至“苏采云”系统，逾期提交的投标文件，“苏采云”系统将自动拒收。各投标人应在规定时间内凭CA证书进行网上解密。</w:t>
      </w:r>
    </w:p>
    <w:p w14:paraId="73A91070">
      <w:pPr>
        <w:spacing w:line="480" w:lineRule="exact"/>
        <w:ind w:firstLine="420"/>
        <w:rPr>
          <w:rFonts w:ascii="宋体" w:hAnsi="宋体"/>
          <w:color w:val="auto"/>
          <w:szCs w:val="21"/>
          <w:highlight w:val="none"/>
        </w:rPr>
      </w:pPr>
      <w:r>
        <w:rPr>
          <w:rFonts w:hint="eastAsia" w:ascii="宋体" w:hAnsi="宋体"/>
          <w:color w:val="auto"/>
          <w:szCs w:val="21"/>
          <w:highlight w:val="none"/>
        </w:rPr>
        <w:t>6.5投标人在投标截止时间前，可以对所递交的投标文件进行补充、修改或者撤回，并书面通知采购人或者采购代理机构。补充、修改的内容应当按照招标文件要求签署、盖章、密封后，作为投标文件的组成部分。</w:t>
      </w:r>
    </w:p>
    <w:p w14:paraId="461696FC">
      <w:pPr>
        <w:spacing w:line="480" w:lineRule="exact"/>
        <w:ind w:firstLine="420"/>
        <w:rPr>
          <w:rFonts w:ascii="宋体" w:hAnsi="宋体"/>
          <w:color w:val="auto"/>
          <w:szCs w:val="21"/>
          <w:highlight w:val="none"/>
        </w:rPr>
      </w:pPr>
      <w:r>
        <w:rPr>
          <w:rFonts w:hint="eastAsia" w:ascii="宋体" w:hAnsi="宋体"/>
          <w:color w:val="auto"/>
          <w:szCs w:val="21"/>
          <w:highlight w:val="none"/>
        </w:rPr>
        <w:t>7．本项目落实江苏省财政厅《关于做好政府采购支持企业发展有关事项的通知》(苏财购(2020)52号)文件精神，不收取投标保证金。</w:t>
      </w:r>
    </w:p>
    <w:p w14:paraId="690F128D">
      <w:pPr>
        <w:spacing w:line="480" w:lineRule="exact"/>
        <w:ind w:firstLine="420"/>
        <w:rPr>
          <w:rFonts w:ascii="宋体" w:hAnsi="宋体"/>
          <w:color w:val="auto"/>
          <w:szCs w:val="21"/>
          <w:highlight w:val="none"/>
        </w:rPr>
      </w:pPr>
      <w:r>
        <w:rPr>
          <w:rFonts w:hint="eastAsia" w:ascii="宋体" w:hAnsi="宋体"/>
          <w:color w:val="auto"/>
          <w:szCs w:val="21"/>
          <w:highlight w:val="none"/>
        </w:rPr>
        <w:t>8. 投标报价：</w:t>
      </w:r>
    </w:p>
    <w:p w14:paraId="2E845666">
      <w:pPr>
        <w:spacing w:line="480" w:lineRule="exact"/>
        <w:ind w:firstLine="420"/>
        <w:rPr>
          <w:rFonts w:ascii="宋体" w:hAnsi="宋体"/>
          <w:color w:val="auto"/>
          <w:szCs w:val="21"/>
          <w:highlight w:val="none"/>
        </w:rPr>
      </w:pPr>
      <w:r>
        <w:rPr>
          <w:rFonts w:hint="eastAsia" w:ascii="宋体" w:hAnsi="宋体"/>
          <w:color w:val="auto"/>
          <w:szCs w:val="21"/>
          <w:highlight w:val="none"/>
        </w:rPr>
        <w:t>8.1投标方应在招标文件所附的投标报价表上写明投标产品的单价和投标总价，如单价与总价有出入，以单价为准。投标方对每种货物或服务只允许有一个报价，招标方不接受有任何选择的报价。除合同另有约定，投标人投标报价表上所标明的价格均为履约的固定价格，不得以任何理由予以变更。</w:t>
      </w:r>
    </w:p>
    <w:p w14:paraId="53EB3978">
      <w:pPr>
        <w:spacing w:line="480" w:lineRule="exact"/>
        <w:ind w:firstLine="422"/>
        <w:rPr>
          <w:rFonts w:ascii="宋体" w:hAnsi="宋体"/>
          <w:b/>
          <w:color w:val="auto"/>
          <w:szCs w:val="21"/>
          <w:highlight w:val="none"/>
        </w:rPr>
      </w:pPr>
      <w:r>
        <w:rPr>
          <w:rFonts w:hint="eastAsia" w:ascii="宋体" w:hAnsi="宋体"/>
          <w:b/>
          <w:color w:val="auto"/>
          <w:szCs w:val="21"/>
          <w:highlight w:val="none"/>
        </w:rPr>
        <w:t>8.2本项目最高限价：详见投标人须知前附表，报价高于该限价的作无效标论处。</w:t>
      </w:r>
    </w:p>
    <w:p w14:paraId="457488C8">
      <w:pPr>
        <w:spacing w:line="480" w:lineRule="exact"/>
        <w:ind w:firstLine="420"/>
        <w:rPr>
          <w:rFonts w:ascii="宋体" w:hAnsi="宋体"/>
          <w:color w:val="auto"/>
          <w:szCs w:val="21"/>
          <w:highlight w:val="none"/>
        </w:rPr>
      </w:pPr>
      <w:r>
        <w:rPr>
          <w:rFonts w:hint="eastAsia" w:ascii="宋体" w:hAnsi="宋体"/>
          <w:color w:val="auto"/>
          <w:szCs w:val="21"/>
          <w:highlight w:val="none"/>
        </w:rPr>
        <w:t>8.3 投标报价</w:t>
      </w:r>
    </w:p>
    <w:p w14:paraId="3246A2BA">
      <w:pPr>
        <w:spacing w:line="480" w:lineRule="exact"/>
        <w:ind w:firstLine="420"/>
        <w:rPr>
          <w:rFonts w:ascii="宋体" w:hAnsi="宋体"/>
          <w:color w:val="auto"/>
          <w:szCs w:val="21"/>
          <w:highlight w:val="none"/>
        </w:rPr>
      </w:pPr>
      <w:r>
        <w:rPr>
          <w:rFonts w:hint="eastAsia" w:ascii="宋体" w:hAnsi="宋体"/>
          <w:color w:val="auto"/>
          <w:szCs w:val="21"/>
          <w:highlight w:val="none"/>
        </w:rPr>
        <w:t>8.3.1报价应包含以下内容：本项目采用“固定总价”报价方式，投标报价是履行合同的最终结算价，投标时所报价格按招标人提供的采购需求及技术要求并进行相关服务而涵盖的所有费用。包括但不限于：人员工资、加班费、工作人员差旅费、调研考察、咨询费、研究费、各项福利、劳动保险、餐费、员工补助、工作人员必要的住宿费、办公费、论证费、各类方案评审费（含专家劳务费、会议组织费）管理费、为本招标项目提供服务所需的仪器设备、各类耗材、公共耗能费、招标代理费、利润、税金、服务期内政策调整风险费等本项目招标文件规定的全部费用，投标人中标后投标报价不再调整。</w:t>
      </w:r>
    </w:p>
    <w:p w14:paraId="1947A148">
      <w:pPr>
        <w:spacing w:line="480" w:lineRule="exact"/>
        <w:ind w:firstLine="420"/>
        <w:rPr>
          <w:rFonts w:ascii="宋体" w:hAnsi="宋体"/>
          <w:color w:val="auto"/>
          <w:szCs w:val="21"/>
          <w:highlight w:val="none"/>
        </w:rPr>
      </w:pPr>
      <w:r>
        <w:rPr>
          <w:rFonts w:hint="eastAsia" w:ascii="宋体" w:hAnsi="宋体"/>
          <w:color w:val="auto"/>
          <w:szCs w:val="21"/>
          <w:highlight w:val="none"/>
        </w:rPr>
        <w:t>除非因特殊原因并经双方协商同意，中标供应商不得再要求追加任何费用。同时，除非合同条款中另有规定，否则在合同实施期间中标价不因市场变化因素而变动。</w:t>
      </w:r>
    </w:p>
    <w:p w14:paraId="49C2591C">
      <w:pPr>
        <w:spacing w:line="480" w:lineRule="exact"/>
        <w:ind w:firstLine="420"/>
        <w:rPr>
          <w:rFonts w:ascii="宋体" w:hAnsi="宋体"/>
          <w:color w:val="auto"/>
          <w:szCs w:val="21"/>
          <w:highlight w:val="none"/>
        </w:rPr>
      </w:pPr>
      <w:r>
        <w:rPr>
          <w:rFonts w:hint="eastAsia" w:ascii="宋体" w:hAnsi="宋体"/>
          <w:color w:val="auto"/>
          <w:szCs w:val="21"/>
          <w:highlight w:val="none"/>
        </w:rPr>
        <w:t>8.3.2 开标一览表、投标价格表的报价一律用人民币（单位：元）填报。</w:t>
      </w:r>
    </w:p>
    <w:p w14:paraId="335E3411">
      <w:pPr>
        <w:spacing w:line="480" w:lineRule="exact"/>
        <w:ind w:firstLine="420"/>
        <w:rPr>
          <w:rFonts w:ascii="宋体" w:hAnsi="宋体"/>
          <w:color w:val="auto"/>
          <w:szCs w:val="21"/>
          <w:highlight w:val="none"/>
        </w:rPr>
      </w:pPr>
      <w:r>
        <w:rPr>
          <w:rFonts w:hint="eastAsia" w:ascii="宋体" w:hAnsi="宋体"/>
          <w:color w:val="auto"/>
          <w:szCs w:val="21"/>
          <w:highlight w:val="none"/>
        </w:rPr>
        <w:t>8.</w:t>
      </w:r>
      <w:r>
        <w:rPr>
          <w:rFonts w:ascii="宋体" w:hAnsi="宋体"/>
          <w:color w:val="auto"/>
          <w:szCs w:val="21"/>
          <w:highlight w:val="none"/>
        </w:rPr>
        <w:t>4</w:t>
      </w:r>
      <w:r>
        <w:rPr>
          <w:rFonts w:hint="eastAsia" w:ascii="宋体" w:hAnsi="宋体"/>
          <w:color w:val="auto"/>
          <w:szCs w:val="21"/>
          <w:highlight w:val="none"/>
        </w:rPr>
        <w:t>投标人在投标文件中应按照本招标文件所附的投标报价单样式进行报价，并计算总价。报价表必须由法定代表人或委托代理人签署。</w:t>
      </w:r>
    </w:p>
    <w:p w14:paraId="4F838076">
      <w:pPr>
        <w:spacing w:line="480" w:lineRule="exact"/>
        <w:ind w:firstLine="420"/>
        <w:rPr>
          <w:rFonts w:ascii="宋体" w:hAnsi="宋体"/>
          <w:color w:val="auto"/>
          <w:szCs w:val="21"/>
          <w:highlight w:val="none"/>
        </w:rPr>
      </w:pPr>
      <w:r>
        <w:rPr>
          <w:rFonts w:hint="eastAsia" w:ascii="宋体" w:hAnsi="宋体"/>
          <w:color w:val="auto"/>
          <w:szCs w:val="21"/>
          <w:highlight w:val="none"/>
        </w:rPr>
        <w:t>9．线上投标文件编制要求，请按照以下要求（包括但不限于以下要求）制作：</w:t>
      </w:r>
    </w:p>
    <w:p w14:paraId="2E68F9EE">
      <w:pPr>
        <w:spacing w:line="480" w:lineRule="exact"/>
        <w:ind w:firstLine="420"/>
        <w:rPr>
          <w:rFonts w:ascii="宋体" w:hAnsi="宋体"/>
          <w:color w:val="auto"/>
          <w:szCs w:val="21"/>
          <w:highlight w:val="none"/>
        </w:rPr>
      </w:pPr>
      <w:r>
        <w:rPr>
          <w:rFonts w:hint="eastAsia" w:ascii="宋体" w:hAnsi="宋体"/>
          <w:color w:val="auto"/>
          <w:szCs w:val="21"/>
          <w:highlight w:val="none"/>
        </w:rPr>
        <w:t>9.1基本目录</w:t>
      </w:r>
    </w:p>
    <w:p w14:paraId="2C55B05E">
      <w:pPr>
        <w:spacing w:line="480" w:lineRule="exact"/>
        <w:ind w:firstLine="420"/>
        <w:rPr>
          <w:rFonts w:ascii="宋体" w:hAnsi="宋体"/>
          <w:color w:val="auto"/>
          <w:szCs w:val="21"/>
          <w:highlight w:val="none"/>
        </w:rPr>
      </w:pPr>
      <w:r>
        <w:rPr>
          <w:rFonts w:hint="eastAsia" w:ascii="宋体" w:hAnsi="宋体"/>
          <w:color w:val="auto"/>
          <w:szCs w:val="21"/>
          <w:highlight w:val="none"/>
        </w:rPr>
        <w:t>9</w:t>
      </w:r>
      <w:r>
        <w:rPr>
          <w:rFonts w:ascii="宋体" w:hAnsi="宋体"/>
          <w:color w:val="auto"/>
          <w:szCs w:val="21"/>
          <w:highlight w:val="none"/>
        </w:rPr>
        <w:t>.1.1</w:t>
      </w:r>
      <w:r>
        <w:rPr>
          <w:rFonts w:hint="eastAsia" w:ascii="宋体" w:hAnsi="宋体"/>
          <w:color w:val="auto"/>
          <w:szCs w:val="21"/>
          <w:highlight w:val="none"/>
        </w:rPr>
        <w:t>《开标一览表》（加盖电子签章，政府采购客户端工具输入报价自动生成）；</w:t>
      </w:r>
    </w:p>
    <w:p w14:paraId="7545B628">
      <w:pPr>
        <w:spacing w:line="480" w:lineRule="exact"/>
        <w:ind w:firstLine="420"/>
        <w:rPr>
          <w:rFonts w:ascii="宋体" w:hAnsi="宋体"/>
          <w:color w:val="auto"/>
          <w:szCs w:val="21"/>
          <w:highlight w:val="none"/>
        </w:rPr>
      </w:pPr>
      <w:r>
        <w:rPr>
          <w:rFonts w:hint="eastAsia" w:ascii="宋体" w:hAnsi="宋体"/>
          <w:color w:val="auto"/>
          <w:szCs w:val="21"/>
          <w:highlight w:val="none"/>
        </w:rPr>
        <w:t>9</w:t>
      </w:r>
      <w:r>
        <w:rPr>
          <w:rFonts w:ascii="宋体" w:hAnsi="宋体"/>
          <w:color w:val="auto"/>
          <w:szCs w:val="21"/>
          <w:highlight w:val="none"/>
        </w:rPr>
        <w:t>.1.2</w:t>
      </w:r>
      <w:r>
        <w:rPr>
          <w:rFonts w:hint="eastAsia" w:ascii="宋体" w:hAnsi="宋体"/>
          <w:color w:val="auto"/>
          <w:szCs w:val="21"/>
          <w:highlight w:val="none"/>
        </w:rPr>
        <w:t>《法定代表人身份证明书》及《授权委托书》（加盖电子签章，格式见招标文件第六章《投标文件相关格式》）；</w:t>
      </w:r>
    </w:p>
    <w:p w14:paraId="660EFEAC">
      <w:pPr>
        <w:spacing w:line="480" w:lineRule="exact"/>
        <w:ind w:firstLine="420"/>
        <w:rPr>
          <w:rFonts w:ascii="宋体" w:hAnsi="宋体"/>
          <w:color w:val="auto"/>
          <w:szCs w:val="21"/>
          <w:highlight w:val="none"/>
        </w:rPr>
      </w:pPr>
      <w:r>
        <w:rPr>
          <w:rFonts w:hint="eastAsia" w:ascii="宋体" w:hAnsi="宋体"/>
          <w:color w:val="auto"/>
          <w:szCs w:val="21"/>
          <w:highlight w:val="none"/>
        </w:rPr>
        <w:t>9.2资格条件</w:t>
      </w:r>
    </w:p>
    <w:p w14:paraId="26A970E0">
      <w:pPr>
        <w:spacing w:line="480" w:lineRule="exact"/>
        <w:ind w:firstLine="420"/>
        <w:rPr>
          <w:rFonts w:ascii="宋体" w:hAnsi="宋体"/>
          <w:color w:val="auto"/>
          <w:szCs w:val="21"/>
          <w:highlight w:val="none"/>
        </w:rPr>
      </w:pPr>
      <w:r>
        <w:rPr>
          <w:rFonts w:hint="eastAsia" w:ascii="宋体" w:hAnsi="宋体"/>
          <w:color w:val="auto"/>
          <w:szCs w:val="21"/>
          <w:highlight w:val="none"/>
        </w:rPr>
        <w:t>9</w:t>
      </w:r>
      <w:r>
        <w:rPr>
          <w:rFonts w:ascii="宋体" w:hAnsi="宋体"/>
          <w:color w:val="auto"/>
          <w:szCs w:val="21"/>
          <w:highlight w:val="none"/>
        </w:rPr>
        <w:t>.2.1</w:t>
      </w:r>
      <w:r>
        <w:rPr>
          <w:rFonts w:hint="eastAsia" w:ascii="宋体" w:hAnsi="宋体"/>
          <w:color w:val="auto"/>
          <w:szCs w:val="21"/>
          <w:highlight w:val="none"/>
        </w:rPr>
        <w:t>法人或者其他组织的营业执照等证明文件</w:t>
      </w:r>
      <w:r>
        <w:rPr>
          <w:rFonts w:hint="eastAsia" w:ascii="宋体" w:hAnsi="宋体" w:cs="宋体"/>
          <w:iCs/>
          <w:color w:val="auto"/>
          <w:highlight w:val="none"/>
        </w:rPr>
        <w:t>，自然人的身份证明</w:t>
      </w:r>
      <w:r>
        <w:rPr>
          <w:rFonts w:hint="eastAsia" w:ascii="宋体" w:hAnsi="宋体"/>
          <w:color w:val="auto"/>
          <w:szCs w:val="21"/>
          <w:highlight w:val="none"/>
        </w:rPr>
        <w:t>；</w:t>
      </w:r>
    </w:p>
    <w:p w14:paraId="492A9DFD">
      <w:pPr>
        <w:spacing w:line="480" w:lineRule="exact"/>
        <w:ind w:firstLine="420"/>
        <w:rPr>
          <w:rFonts w:ascii="宋体" w:hAnsi="宋体"/>
          <w:color w:val="auto"/>
          <w:szCs w:val="21"/>
          <w:highlight w:val="none"/>
        </w:rPr>
      </w:pPr>
      <w:r>
        <w:rPr>
          <w:rFonts w:hint="eastAsia" w:ascii="宋体" w:hAnsi="宋体"/>
          <w:color w:val="auto"/>
          <w:szCs w:val="21"/>
          <w:highlight w:val="none"/>
        </w:rPr>
        <w:t>9</w:t>
      </w:r>
      <w:r>
        <w:rPr>
          <w:rFonts w:ascii="宋体" w:hAnsi="宋体"/>
          <w:color w:val="auto"/>
          <w:szCs w:val="21"/>
          <w:highlight w:val="none"/>
        </w:rPr>
        <w:t>.2.2</w:t>
      </w:r>
      <w:r>
        <w:rPr>
          <w:rFonts w:hint="eastAsia" w:ascii="宋体" w:hAnsi="宋体"/>
          <w:color w:val="auto"/>
          <w:szCs w:val="21"/>
          <w:highlight w:val="none"/>
        </w:rPr>
        <w:t>上一年度的财务报表（包括：利润表、资产负债表、现金流量表，成立不满一年不需提供）；</w:t>
      </w:r>
    </w:p>
    <w:p w14:paraId="693BA04D">
      <w:pPr>
        <w:spacing w:line="480" w:lineRule="exact"/>
        <w:ind w:firstLine="420"/>
        <w:rPr>
          <w:rFonts w:ascii="宋体" w:hAnsi="宋体"/>
          <w:color w:val="auto"/>
          <w:szCs w:val="21"/>
          <w:highlight w:val="none"/>
        </w:rPr>
      </w:pPr>
      <w:r>
        <w:rPr>
          <w:rFonts w:hint="eastAsia" w:ascii="宋体" w:hAnsi="宋体"/>
          <w:color w:val="auto"/>
          <w:szCs w:val="21"/>
          <w:highlight w:val="none"/>
        </w:rPr>
        <w:t>9</w:t>
      </w:r>
      <w:r>
        <w:rPr>
          <w:rFonts w:ascii="宋体" w:hAnsi="宋体"/>
          <w:color w:val="auto"/>
          <w:szCs w:val="21"/>
          <w:highlight w:val="none"/>
        </w:rPr>
        <w:t>.2.3</w:t>
      </w:r>
      <w:r>
        <w:rPr>
          <w:rFonts w:hint="eastAsia" w:ascii="宋体" w:hAnsi="宋体"/>
          <w:color w:val="auto"/>
          <w:szCs w:val="21"/>
          <w:highlight w:val="none"/>
        </w:rPr>
        <w:t>依法缴纳税收和社会保障资金的相关材料（投标时提供投标截止时间前一年内至少一个月依法缴纳税收及缴纳社会保障资金的证明材料。供应商依法享受缓缴、免缴税收、社会保障资金的提供证明材料）；</w:t>
      </w:r>
    </w:p>
    <w:p w14:paraId="7EE92513">
      <w:pPr>
        <w:spacing w:line="480" w:lineRule="exact"/>
        <w:ind w:firstLine="420"/>
        <w:rPr>
          <w:rFonts w:ascii="宋体" w:hAnsi="宋体"/>
          <w:color w:val="auto"/>
          <w:szCs w:val="21"/>
          <w:highlight w:val="none"/>
        </w:rPr>
      </w:pPr>
      <w:r>
        <w:rPr>
          <w:rFonts w:hint="eastAsia" w:ascii="宋体" w:hAnsi="宋体"/>
          <w:color w:val="auto"/>
          <w:szCs w:val="21"/>
          <w:highlight w:val="none"/>
        </w:rPr>
        <w:t>9</w:t>
      </w:r>
      <w:r>
        <w:rPr>
          <w:rFonts w:ascii="宋体" w:hAnsi="宋体"/>
          <w:color w:val="auto"/>
          <w:szCs w:val="21"/>
          <w:highlight w:val="none"/>
        </w:rPr>
        <w:t>.2.4</w:t>
      </w:r>
      <w:r>
        <w:rPr>
          <w:rFonts w:hint="eastAsia" w:ascii="宋体" w:hAnsi="宋体"/>
          <w:color w:val="auto"/>
          <w:szCs w:val="21"/>
          <w:highlight w:val="none"/>
        </w:rPr>
        <w:t>具备履行合同所必需的设备和专业技术能力的书面声明；</w:t>
      </w:r>
    </w:p>
    <w:p w14:paraId="34FAA29C">
      <w:pPr>
        <w:spacing w:line="480" w:lineRule="exact"/>
        <w:ind w:firstLine="420"/>
        <w:rPr>
          <w:rFonts w:ascii="宋体" w:hAnsi="宋体"/>
          <w:color w:val="auto"/>
          <w:szCs w:val="21"/>
          <w:highlight w:val="none"/>
        </w:rPr>
      </w:pPr>
      <w:r>
        <w:rPr>
          <w:rFonts w:hint="eastAsia" w:ascii="宋体" w:hAnsi="宋体"/>
          <w:color w:val="auto"/>
          <w:szCs w:val="21"/>
          <w:highlight w:val="none"/>
        </w:rPr>
        <w:t>9</w:t>
      </w:r>
      <w:r>
        <w:rPr>
          <w:rFonts w:ascii="宋体" w:hAnsi="宋体"/>
          <w:color w:val="auto"/>
          <w:szCs w:val="21"/>
          <w:highlight w:val="none"/>
        </w:rPr>
        <w:t>.2.5</w:t>
      </w:r>
      <w:r>
        <w:rPr>
          <w:rFonts w:hint="eastAsia" w:ascii="宋体" w:hAnsi="宋体"/>
          <w:color w:val="auto"/>
          <w:szCs w:val="21"/>
          <w:highlight w:val="none"/>
        </w:rPr>
        <w:t>参加政府采购活动前3年内在经营活动中没有重大违法记录的书面声明；</w:t>
      </w:r>
    </w:p>
    <w:p w14:paraId="747109E5">
      <w:pPr>
        <w:spacing w:line="480" w:lineRule="exact"/>
        <w:ind w:firstLine="420"/>
        <w:rPr>
          <w:rFonts w:ascii="宋体" w:hAnsi="宋体"/>
          <w:color w:val="auto"/>
          <w:szCs w:val="21"/>
          <w:highlight w:val="none"/>
        </w:rPr>
      </w:pPr>
      <w:r>
        <w:rPr>
          <w:rFonts w:hint="eastAsia" w:ascii="宋体" w:hAnsi="宋体"/>
          <w:color w:val="auto"/>
          <w:szCs w:val="21"/>
          <w:highlight w:val="none"/>
        </w:rPr>
        <w:t>9.2.6</w:t>
      </w:r>
      <w:r>
        <w:rPr>
          <w:rFonts w:hint="eastAsia" w:ascii="宋体" w:hAnsi="宋体" w:cs="宋体"/>
          <w:color w:val="auto"/>
          <w:szCs w:val="21"/>
          <w:highlight w:val="none"/>
          <w:shd w:val="clear" w:color="auto" w:fill="FFFFFF"/>
        </w:rPr>
        <w:t>投标人具有工程咨询单位甲级资信证书扫描件，并应通过全国投资项目在线审批监管平台备案截图（工程咨询备案专业至少有公路、水运，工程咨询服务范围包含规划咨询，备案信息已经由国家发改委通过在线平台向社会公布）</w:t>
      </w:r>
      <w:r>
        <w:rPr>
          <w:rFonts w:hint="eastAsia" w:ascii="宋体" w:hAnsi="宋体"/>
          <w:color w:val="auto"/>
          <w:szCs w:val="21"/>
          <w:highlight w:val="none"/>
        </w:rPr>
        <w:t>。</w:t>
      </w:r>
    </w:p>
    <w:p w14:paraId="7E75FF0E">
      <w:pPr>
        <w:spacing w:line="480" w:lineRule="exact"/>
        <w:ind w:firstLine="420"/>
        <w:rPr>
          <w:rFonts w:ascii="宋体" w:hAnsi="宋体" w:cs="宋体"/>
          <w:color w:val="auto"/>
          <w:szCs w:val="21"/>
          <w:highlight w:val="none"/>
          <w:shd w:val="clear" w:color="auto" w:fill="FFFFFF"/>
        </w:rPr>
      </w:pPr>
      <w:r>
        <w:rPr>
          <w:rFonts w:hint="eastAsia" w:ascii="宋体" w:hAnsi="宋体" w:cs="宋体"/>
          <w:color w:val="auto"/>
          <w:szCs w:val="21"/>
          <w:highlight w:val="none"/>
          <w:shd w:val="clear" w:color="auto" w:fill="FFFFFF"/>
        </w:rPr>
        <w:t>9.2.7项目负责人具有高级工程师及以上职称证书扫描件。</w:t>
      </w:r>
    </w:p>
    <w:p w14:paraId="5826906F">
      <w:pPr>
        <w:spacing w:line="480" w:lineRule="exact"/>
        <w:ind w:firstLine="422"/>
        <w:rPr>
          <w:rFonts w:ascii="宋体" w:hAnsi="宋体"/>
          <w:b/>
          <w:color w:val="auto"/>
          <w:szCs w:val="21"/>
          <w:highlight w:val="none"/>
        </w:rPr>
      </w:pPr>
      <w:r>
        <w:rPr>
          <w:rFonts w:hint="eastAsia" w:ascii="宋体" w:hAnsi="宋体"/>
          <w:b/>
          <w:color w:val="auto"/>
          <w:szCs w:val="21"/>
          <w:highlight w:val="none"/>
        </w:rPr>
        <w:t>9.3符合条件要求内容必须提供，且须加盖电子签章，格式见招标文件第六章《投标文件相关格式》，根据投标人组织形式的不同，本项目招标文件中的法定代表人指企业或事业单位法定代表人或分公司负责人（余同），各投标人根据其组织形式，加盖章印或签字。</w:t>
      </w:r>
    </w:p>
    <w:p w14:paraId="3D763AB0">
      <w:pPr>
        <w:spacing w:line="480" w:lineRule="exact"/>
        <w:ind w:firstLine="420"/>
        <w:rPr>
          <w:rFonts w:ascii="宋体" w:hAnsi="宋体"/>
          <w:color w:val="auto"/>
          <w:szCs w:val="21"/>
          <w:highlight w:val="none"/>
        </w:rPr>
      </w:pPr>
      <w:r>
        <w:rPr>
          <w:rFonts w:hint="eastAsia" w:ascii="宋体" w:hAnsi="宋体"/>
          <w:color w:val="auto"/>
          <w:szCs w:val="21"/>
          <w:highlight w:val="none"/>
        </w:rPr>
        <w:t>9</w:t>
      </w:r>
      <w:r>
        <w:rPr>
          <w:rFonts w:ascii="宋体" w:hAnsi="宋体"/>
          <w:color w:val="auto"/>
          <w:szCs w:val="21"/>
          <w:highlight w:val="none"/>
        </w:rPr>
        <w:t>.3.1</w:t>
      </w:r>
      <w:r>
        <w:rPr>
          <w:rFonts w:hint="eastAsia" w:ascii="宋体" w:hAnsi="宋体"/>
          <w:color w:val="auto"/>
          <w:szCs w:val="21"/>
          <w:highlight w:val="none"/>
        </w:rPr>
        <w:t>报价：</w:t>
      </w:r>
    </w:p>
    <w:p w14:paraId="0BA876C6">
      <w:pPr>
        <w:spacing w:line="480" w:lineRule="exact"/>
        <w:ind w:firstLine="420"/>
        <w:rPr>
          <w:rFonts w:ascii="宋体" w:hAnsi="宋体"/>
          <w:color w:val="auto"/>
          <w:szCs w:val="21"/>
          <w:highlight w:val="none"/>
        </w:rPr>
      </w:pPr>
      <w:r>
        <w:rPr>
          <w:rFonts w:hint="eastAsia" w:ascii="宋体" w:hAnsi="宋体"/>
          <w:color w:val="auto"/>
          <w:szCs w:val="21"/>
          <w:highlight w:val="none"/>
        </w:rPr>
        <w:t>（1）投标函；</w:t>
      </w:r>
    </w:p>
    <w:p w14:paraId="590E749A">
      <w:pPr>
        <w:spacing w:line="480" w:lineRule="exact"/>
        <w:ind w:firstLine="420"/>
        <w:rPr>
          <w:rFonts w:ascii="宋体" w:hAnsi="宋体"/>
          <w:color w:val="auto"/>
          <w:szCs w:val="21"/>
          <w:highlight w:val="none"/>
        </w:rPr>
      </w:pPr>
      <w:r>
        <w:rPr>
          <w:rFonts w:hint="eastAsia" w:ascii="宋体" w:hAnsi="宋体"/>
          <w:color w:val="auto"/>
          <w:szCs w:val="21"/>
          <w:highlight w:val="none"/>
        </w:rPr>
        <w:t>（2）投标报价明细表；</w:t>
      </w:r>
    </w:p>
    <w:p w14:paraId="0A79DEEB">
      <w:pPr>
        <w:spacing w:line="480" w:lineRule="exact"/>
        <w:ind w:firstLine="420"/>
        <w:rPr>
          <w:rFonts w:ascii="宋体" w:hAnsi="宋体"/>
          <w:color w:val="auto"/>
          <w:szCs w:val="21"/>
          <w:highlight w:val="none"/>
        </w:rPr>
      </w:pPr>
      <w:r>
        <w:rPr>
          <w:rFonts w:hint="eastAsia" w:ascii="宋体" w:hAnsi="宋体"/>
          <w:color w:val="auto"/>
          <w:szCs w:val="21"/>
          <w:highlight w:val="none"/>
        </w:rPr>
        <w:t>9</w:t>
      </w:r>
      <w:r>
        <w:rPr>
          <w:rFonts w:ascii="宋体" w:hAnsi="宋体"/>
          <w:color w:val="auto"/>
          <w:szCs w:val="21"/>
          <w:highlight w:val="none"/>
        </w:rPr>
        <w:t>.3.2</w:t>
      </w:r>
      <w:r>
        <w:rPr>
          <w:rFonts w:hint="eastAsia" w:ascii="宋体" w:hAnsi="宋体"/>
          <w:color w:val="auto"/>
          <w:szCs w:val="21"/>
          <w:highlight w:val="none"/>
        </w:rPr>
        <w:t>商务资信：</w:t>
      </w:r>
    </w:p>
    <w:p w14:paraId="6555F0D1">
      <w:pPr>
        <w:spacing w:line="480" w:lineRule="exact"/>
        <w:ind w:firstLine="420"/>
        <w:rPr>
          <w:color w:val="auto"/>
          <w:szCs w:val="21"/>
          <w:highlight w:val="none"/>
        </w:rPr>
      </w:pPr>
      <w:r>
        <w:rPr>
          <w:rFonts w:hint="eastAsia"/>
          <w:color w:val="auto"/>
          <w:szCs w:val="21"/>
          <w:highlight w:val="none"/>
        </w:rPr>
        <w:t>（1）投标人的法定代表人身份证明书；</w:t>
      </w:r>
    </w:p>
    <w:p w14:paraId="62EA08D1">
      <w:pPr>
        <w:spacing w:line="480" w:lineRule="exact"/>
        <w:ind w:firstLine="420"/>
        <w:rPr>
          <w:color w:val="auto"/>
          <w:szCs w:val="21"/>
          <w:highlight w:val="none"/>
        </w:rPr>
      </w:pPr>
      <w:r>
        <w:rPr>
          <w:rFonts w:hint="eastAsia"/>
          <w:color w:val="auto"/>
          <w:szCs w:val="21"/>
          <w:highlight w:val="none"/>
        </w:rPr>
        <w:t>（2）投标人的法定代表人授权委托书(如有授权)；</w:t>
      </w:r>
    </w:p>
    <w:p w14:paraId="455579F6">
      <w:pPr>
        <w:spacing w:line="480" w:lineRule="exact"/>
        <w:ind w:firstLine="420"/>
        <w:rPr>
          <w:color w:val="auto"/>
          <w:szCs w:val="21"/>
          <w:highlight w:val="none"/>
        </w:rPr>
      </w:pPr>
      <w:r>
        <w:rPr>
          <w:rFonts w:hint="eastAsia"/>
          <w:color w:val="auto"/>
          <w:szCs w:val="21"/>
          <w:highlight w:val="none"/>
        </w:rPr>
        <w:t>（</w:t>
      </w:r>
      <w:r>
        <w:rPr>
          <w:color w:val="auto"/>
          <w:szCs w:val="21"/>
          <w:highlight w:val="none"/>
        </w:rPr>
        <w:t>3</w:t>
      </w:r>
      <w:r>
        <w:rPr>
          <w:rFonts w:hint="eastAsia"/>
          <w:color w:val="auto"/>
          <w:szCs w:val="21"/>
          <w:highlight w:val="none"/>
        </w:rPr>
        <w:t>）盐城市大丰区政府招标采购供应商承诺书；</w:t>
      </w:r>
    </w:p>
    <w:p w14:paraId="68D18EC4">
      <w:pPr>
        <w:spacing w:line="480" w:lineRule="exact"/>
        <w:ind w:firstLine="420"/>
        <w:rPr>
          <w:rFonts w:ascii="宋体" w:hAnsi="宋体"/>
          <w:color w:val="auto"/>
          <w:szCs w:val="21"/>
          <w:highlight w:val="none"/>
        </w:rPr>
      </w:pPr>
      <w:r>
        <w:rPr>
          <w:rFonts w:hint="eastAsia" w:ascii="宋体" w:hAnsi="宋体"/>
          <w:color w:val="auto"/>
          <w:szCs w:val="21"/>
          <w:highlight w:val="none"/>
        </w:rPr>
        <w:t>9</w:t>
      </w:r>
      <w:r>
        <w:rPr>
          <w:rFonts w:ascii="宋体" w:hAnsi="宋体"/>
          <w:color w:val="auto"/>
          <w:szCs w:val="21"/>
          <w:highlight w:val="none"/>
        </w:rPr>
        <w:t>.3.3</w:t>
      </w:r>
      <w:r>
        <w:rPr>
          <w:rFonts w:hint="eastAsia" w:ascii="宋体" w:hAnsi="宋体"/>
          <w:color w:val="auto"/>
          <w:szCs w:val="21"/>
          <w:highlight w:val="none"/>
        </w:rPr>
        <w:t>服务内容响应：</w:t>
      </w:r>
    </w:p>
    <w:p w14:paraId="11627566">
      <w:pPr>
        <w:spacing w:line="480" w:lineRule="exact"/>
        <w:ind w:firstLine="420"/>
        <w:rPr>
          <w:rFonts w:ascii="宋体" w:hAnsi="宋体"/>
          <w:color w:val="auto"/>
          <w:szCs w:val="21"/>
          <w:highlight w:val="none"/>
        </w:rPr>
      </w:pPr>
      <w:r>
        <w:rPr>
          <w:rFonts w:hint="eastAsia" w:ascii="宋体" w:hAnsi="宋体"/>
          <w:color w:val="auto"/>
          <w:szCs w:val="21"/>
          <w:highlight w:val="none"/>
        </w:rPr>
        <w:t>（</w:t>
      </w:r>
      <w:r>
        <w:rPr>
          <w:rFonts w:ascii="宋体" w:hAnsi="宋体"/>
          <w:color w:val="auto"/>
          <w:szCs w:val="21"/>
          <w:highlight w:val="none"/>
        </w:rPr>
        <w:t>1</w:t>
      </w:r>
      <w:r>
        <w:rPr>
          <w:rFonts w:hint="eastAsia" w:ascii="宋体" w:hAnsi="宋体"/>
          <w:color w:val="auto"/>
          <w:szCs w:val="21"/>
          <w:highlight w:val="none"/>
        </w:rPr>
        <w:t>）商务条款偏离表</w:t>
      </w:r>
    </w:p>
    <w:p w14:paraId="1E49D1FF">
      <w:pPr>
        <w:pStyle w:val="271"/>
        <w:ind w:firstLine="420"/>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（2）技术条款响应表</w:t>
      </w:r>
    </w:p>
    <w:p w14:paraId="77C0A45F">
      <w:pPr>
        <w:pStyle w:val="271"/>
        <w:ind w:firstLine="420"/>
        <w:rPr>
          <w:rFonts w:hint="default" w:ascii="宋体" w:hAnsi="宋体" w:eastAsia="宋体" w:cs="Times New Roman"/>
          <w:color w:val="auto"/>
          <w:sz w:val="21"/>
          <w:szCs w:val="21"/>
          <w:highlight w:val="none"/>
          <w:lang w:val="en-US" w:eastAsia="zh-CN"/>
        </w:rPr>
      </w:pPr>
      <w:r>
        <w:rPr>
          <w:rFonts w:hint="eastAsia" w:ascii="宋体" w:hAnsi="宋体" w:eastAsia="宋体" w:cs="Times New Roman"/>
          <w:color w:val="auto"/>
          <w:sz w:val="21"/>
          <w:szCs w:val="21"/>
          <w:highlight w:val="none"/>
          <w:lang w:eastAsia="zh-CN"/>
        </w:rPr>
        <w:t>（</w:t>
      </w:r>
      <w:r>
        <w:rPr>
          <w:rFonts w:hint="eastAsia" w:ascii="宋体" w:hAnsi="宋体" w:eastAsia="宋体" w:cs="Times New Roman"/>
          <w:color w:val="auto"/>
          <w:sz w:val="21"/>
          <w:szCs w:val="21"/>
          <w:highlight w:val="none"/>
          <w:lang w:val="en-US" w:eastAsia="zh-CN"/>
        </w:rPr>
        <w:t>3</w:t>
      </w:r>
      <w:r>
        <w:rPr>
          <w:rFonts w:hint="eastAsia" w:ascii="宋体" w:hAnsi="宋体" w:eastAsia="宋体" w:cs="Times New Roman"/>
          <w:color w:val="auto"/>
          <w:sz w:val="21"/>
          <w:szCs w:val="21"/>
          <w:highlight w:val="none"/>
          <w:lang w:eastAsia="zh-CN"/>
        </w:rPr>
        <w:t>）</w:t>
      </w:r>
      <w:r>
        <w:rPr>
          <w:rFonts w:hint="eastAsia" w:ascii="宋体" w:hAnsi="宋体" w:eastAsia="宋体" w:cs="Times New Roman"/>
          <w:color w:val="auto"/>
          <w:sz w:val="21"/>
          <w:szCs w:val="21"/>
          <w:highlight w:val="none"/>
          <w:lang w:val="en-US" w:eastAsia="zh-CN"/>
        </w:rPr>
        <w:t>后续服务承诺函</w:t>
      </w:r>
    </w:p>
    <w:p w14:paraId="06741AE2">
      <w:pPr>
        <w:spacing w:line="480" w:lineRule="exact"/>
        <w:ind w:firstLine="420"/>
        <w:rPr>
          <w:rFonts w:ascii="宋体" w:hAnsi="宋体"/>
          <w:color w:val="auto"/>
          <w:szCs w:val="21"/>
          <w:highlight w:val="none"/>
        </w:rPr>
      </w:pPr>
      <w:r>
        <w:rPr>
          <w:rFonts w:hint="eastAsia" w:ascii="宋体" w:hAnsi="宋体"/>
          <w:color w:val="auto"/>
          <w:szCs w:val="21"/>
          <w:highlight w:val="none"/>
        </w:rPr>
        <w:t>9.</w:t>
      </w:r>
      <w:r>
        <w:rPr>
          <w:rFonts w:ascii="宋体" w:hAnsi="宋体"/>
          <w:color w:val="auto"/>
          <w:szCs w:val="21"/>
          <w:highlight w:val="none"/>
        </w:rPr>
        <w:t>4</w:t>
      </w:r>
      <w:r>
        <w:rPr>
          <w:rFonts w:hint="eastAsia" w:ascii="宋体" w:hAnsi="宋体"/>
          <w:color w:val="auto"/>
          <w:szCs w:val="21"/>
          <w:highlight w:val="none"/>
        </w:rPr>
        <w:t>招标文件要求的其它证明资料和评标细则要求提供证明材料。</w:t>
      </w:r>
    </w:p>
    <w:p w14:paraId="500B7215">
      <w:pPr>
        <w:spacing w:line="480" w:lineRule="exact"/>
        <w:ind w:firstLine="420"/>
        <w:rPr>
          <w:rFonts w:ascii="宋体" w:hAnsi="宋体"/>
          <w:color w:val="auto"/>
          <w:szCs w:val="21"/>
          <w:highlight w:val="none"/>
        </w:rPr>
      </w:pPr>
      <w:r>
        <w:rPr>
          <w:rFonts w:hint="eastAsia" w:ascii="宋体" w:hAnsi="宋体"/>
          <w:color w:val="auto"/>
          <w:szCs w:val="21"/>
          <w:highlight w:val="none"/>
        </w:rPr>
        <w:t>注：投标人应对以上文件的合法性、真实性负责，投标人提供的材料如有虚假，视为提供虚假材料谋取中标资格，将被列入不良行为记录名单。</w:t>
      </w:r>
    </w:p>
    <w:p w14:paraId="22243531">
      <w:pPr>
        <w:spacing w:line="480" w:lineRule="exact"/>
        <w:ind w:firstLine="420"/>
        <w:rPr>
          <w:rFonts w:ascii="宋体" w:hAnsi="宋体"/>
          <w:color w:val="auto"/>
          <w:szCs w:val="21"/>
          <w:highlight w:val="none"/>
        </w:rPr>
      </w:pPr>
      <w:r>
        <w:rPr>
          <w:rFonts w:hint="eastAsia" w:ascii="宋体" w:hAnsi="宋体"/>
          <w:color w:val="auto"/>
          <w:szCs w:val="21"/>
          <w:highlight w:val="none"/>
        </w:rPr>
        <w:t>10．投标文件线上格式要求</w:t>
      </w:r>
    </w:p>
    <w:p w14:paraId="7D796D67">
      <w:pPr>
        <w:spacing w:line="480" w:lineRule="exact"/>
        <w:ind w:firstLine="420"/>
        <w:rPr>
          <w:rFonts w:ascii="宋体" w:hAnsi="宋体"/>
          <w:color w:val="auto"/>
          <w:szCs w:val="21"/>
          <w:highlight w:val="none"/>
        </w:rPr>
      </w:pPr>
      <w:r>
        <w:rPr>
          <w:rFonts w:hint="eastAsia" w:ascii="宋体" w:hAnsi="宋体"/>
          <w:color w:val="auto"/>
          <w:szCs w:val="21"/>
          <w:highlight w:val="none"/>
        </w:rPr>
        <w:t>10.1投标人应当通过“苏采云”系统提交数据电文形式的投标文件（即电子投标）。</w:t>
      </w:r>
    </w:p>
    <w:p w14:paraId="3197AD3A">
      <w:pPr>
        <w:spacing w:line="480" w:lineRule="exact"/>
        <w:ind w:firstLine="422"/>
        <w:rPr>
          <w:rFonts w:ascii="宋体" w:hAnsi="宋体"/>
          <w:b/>
          <w:color w:val="auto"/>
          <w:szCs w:val="21"/>
          <w:highlight w:val="none"/>
        </w:rPr>
      </w:pPr>
      <w:r>
        <w:rPr>
          <w:rFonts w:hint="eastAsia" w:ascii="宋体" w:hAnsi="宋体"/>
          <w:b/>
          <w:color w:val="auto"/>
          <w:szCs w:val="21"/>
          <w:highlight w:val="none"/>
        </w:rPr>
        <w:t>10.2 通过“苏采云”系统提交政府采购客户端工具导出加密的投标文件（后缀名为zip）。投标文件不得超过150M！</w:t>
      </w:r>
    </w:p>
    <w:p w14:paraId="7886A52F">
      <w:pPr>
        <w:spacing w:line="480" w:lineRule="exact"/>
        <w:ind w:firstLine="420"/>
        <w:rPr>
          <w:rFonts w:ascii="宋体" w:hAnsi="宋体"/>
          <w:color w:val="auto"/>
          <w:szCs w:val="21"/>
          <w:highlight w:val="none"/>
        </w:rPr>
      </w:pPr>
      <w:r>
        <w:rPr>
          <w:rFonts w:hint="eastAsia" w:ascii="宋体" w:hAnsi="宋体"/>
          <w:color w:val="auto"/>
          <w:szCs w:val="21"/>
          <w:highlight w:val="none"/>
        </w:rPr>
        <w:t>10.3 本项目采用线上投标，即供应商投标文件从政府采购客户端工具制作通过“苏采云”系统提交，未提供线上投标文件的，投标无效。</w:t>
      </w:r>
    </w:p>
    <w:p w14:paraId="2CF1EE09">
      <w:pPr>
        <w:spacing w:line="480" w:lineRule="exact"/>
        <w:ind w:firstLine="420"/>
        <w:rPr>
          <w:rFonts w:ascii="宋体" w:hAnsi="宋体"/>
          <w:color w:val="auto"/>
          <w:szCs w:val="21"/>
          <w:highlight w:val="none"/>
        </w:rPr>
      </w:pPr>
      <w:r>
        <w:rPr>
          <w:rFonts w:hint="eastAsia" w:ascii="宋体" w:hAnsi="宋体"/>
          <w:color w:val="auto"/>
          <w:szCs w:val="21"/>
          <w:highlight w:val="none"/>
        </w:rPr>
        <w:t>11．线上投标文件的密封、签署、盖章要求</w:t>
      </w:r>
    </w:p>
    <w:p w14:paraId="26AEB5AB">
      <w:pPr>
        <w:spacing w:line="480" w:lineRule="exact"/>
        <w:ind w:firstLine="420"/>
        <w:rPr>
          <w:rFonts w:ascii="宋体" w:hAnsi="宋体"/>
          <w:color w:val="auto"/>
          <w:szCs w:val="21"/>
          <w:highlight w:val="none"/>
        </w:rPr>
      </w:pPr>
      <w:r>
        <w:rPr>
          <w:rFonts w:hint="eastAsia" w:ascii="宋体" w:hAnsi="宋体"/>
          <w:color w:val="auto"/>
          <w:szCs w:val="21"/>
          <w:highlight w:val="none"/>
        </w:rPr>
        <w:t>11.1投标文件的密封（加密）要求：</w:t>
      </w:r>
    </w:p>
    <w:p w14:paraId="0C1DEC3F">
      <w:pPr>
        <w:spacing w:line="480" w:lineRule="exact"/>
        <w:ind w:firstLine="420"/>
        <w:rPr>
          <w:rFonts w:ascii="宋体" w:hAnsi="宋体"/>
          <w:color w:val="auto"/>
          <w:szCs w:val="21"/>
          <w:highlight w:val="none"/>
        </w:rPr>
      </w:pPr>
      <w:r>
        <w:rPr>
          <w:rFonts w:hint="eastAsia" w:ascii="宋体" w:hAnsi="宋体"/>
          <w:color w:val="auto"/>
          <w:szCs w:val="21"/>
          <w:highlight w:val="none"/>
        </w:rPr>
        <w:t>投标人应当按照招标文件和“苏采云”系统的要求编制并加密投标文件。本项目投标人须通过“苏采云”系统提供的政府采购客户端工具（使用“CA数字证书”）对其数据电文形式的投标文件加密。</w:t>
      </w:r>
    </w:p>
    <w:p w14:paraId="26F832CA">
      <w:pPr>
        <w:spacing w:line="480" w:lineRule="exact"/>
        <w:ind w:firstLine="420"/>
        <w:rPr>
          <w:rFonts w:ascii="宋体" w:hAnsi="宋体"/>
          <w:color w:val="auto"/>
          <w:szCs w:val="21"/>
          <w:highlight w:val="none"/>
        </w:rPr>
      </w:pPr>
      <w:r>
        <w:rPr>
          <w:rFonts w:hint="eastAsia" w:ascii="宋体" w:hAnsi="宋体"/>
          <w:color w:val="auto"/>
          <w:szCs w:val="21"/>
          <w:highlight w:val="none"/>
        </w:rPr>
        <w:t>11.2投标文件的签署要求：见招标文件第六章《投标文件相关格式》。</w:t>
      </w:r>
    </w:p>
    <w:p w14:paraId="20508DB5">
      <w:pPr>
        <w:spacing w:line="480" w:lineRule="exact"/>
        <w:ind w:firstLine="420"/>
        <w:rPr>
          <w:rFonts w:ascii="宋体" w:hAnsi="宋体"/>
          <w:color w:val="auto"/>
          <w:szCs w:val="21"/>
          <w:highlight w:val="none"/>
        </w:rPr>
      </w:pPr>
      <w:r>
        <w:rPr>
          <w:rFonts w:hint="eastAsia" w:ascii="宋体" w:hAnsi="宋体"/>
          <w:color w:val="auto"/>
          <w:szCs w:val="21"/>
          <w:highlight w:val="none"/>
        </w:rPr>
        <w:t>11.3投标文件的盖章要求：见招标文件第二章《线上投标文件编制要求》和招标文件第六章《投标文件相关格式》。投标人须通过“苏采云”系统提供的政府采购客户端工具（使用“CA数字证书”）加盖电子签章。</w:t>
      </w:r>
    </w:p>
    <w:p w14:paraId="719B5D4C">
      <w:pPr>
        <w:spacing w:line="480" w:lineRule="exact"/>
        <w:ind w:firstLine="420"/>
        <w:rPr>
          <w:rFonts w:ascii="宋体" w:hAnsi="宋体"/>
          <w:color w:val="auto"/>
          <w:szCs w:val="21"/>
          <w:highlight w:val="none"/>
        </w:rPr>
      </w:pPr>
      <w:r>
        <w:rPr>
          <w:rFonts w:hint="eastAsia" w:ascii="宋体" w:hAnsi="宋体"/>
          <w:color w:val="auto"/>
          <w:szCs w:val="21"/>
          <w:highlight w:val="none"/>
        </w:rPr>
        <w:t>说明：投标人应在用CA数字证书以及自备的能够登录“苏采云”系统的电脑，在达到开标时间后，使用CA数字证书解密各自投标文件。</w:t>
      </w:r>
    </w:p>
    <w:p w14:paraId="2717D73F">
      <w:pPr>
        <w:spacing w:line="480" w:lineRule="exact"/>
        <w:ind w:firstLine="420"/>
        <w:rPr>
          <w:rFonts w:ascii="宋体" w:hAnsi="宋体"/>
          <w:color w:val="auto"/>
          <w:szCs w:val="21"/>
          <w:highlight w:val="none"/>
        </w:rPr>
      </w:pPr>
      <w:r>
        <w:rPr>
          <w:rFonts w:hint="eastAsia" w:ascii="宋体" w:hAnsi="宋体"/>
          <w:color w:val="auto"/>
          <w:szCs w:val="21"/>
          <w:highlight w:val="none"/>
        </w:rPr>
        <w:t>11.4投标人未按规定加密的投标文件，“苏采云”系统应当拒收并提示。</w:t>
      </w:r>
    </w:p>
    <w:p w14:paraId="036CA8F1">
      <w:pPr>
        <w:spacing w:line="480" w:lineRule="exact"/>
        <w:ind w:firstLine="420"/>
        <w:rPr>
          <w:rFonts w:ascii="宋体" w:hAnsi="宋体"/>
          <w:color w:val="auto"/>
          <w:szCs w:val="21"/>
          <w:highlight w:val="none"/>
        </w:rPr>
      </w:pPr>
      <w:r>
        <w:rPr>
          <w:rFonts w:hint="eastAsia" w:ascii="宋体" w:hAnsi="宋体"/>
          <w:color w:val="auto"/>
          <w:szCs w:val="21"/>
          <w:highlight w:val="none"/>
        </w:rPr>
        <w:t>12. 投标文件的提交与接收</w:t>
      </w:r>
    </w:p>
    <w:p w14:paraId="7E6E53ED">
      <w:pPr>
        <w:spacing w:line="480" w:lineRule="exact"/>
        <w:ind w:firstLine="420"/>
        <w:rPr>
          <w:rFonts w:ascii="宋体" w:hAnsi="宋体"/>
          <w:color w:val="auto"/>
          <w:szCs w:val="21"/>
          <w:highlight w:val="none"/>
        </w:rPr>
      </w:pPr>
      <w:r>
        <w:rPr>
          <w:rFonts w:hint="eastAsia" w:ascii="宋体" w:hAnsi="宋体"/>
          <w:color w:val="auto"/>
          <w:szCs w:val="21"/>
          <w:highlight w:val="none"/>
        </w:rPr>
        <w:t>12.1 投标文件提交与接收时间：</w:t>
      </w:r>
    </w:p>
    <w:p w14:paraId="53308FC6">
      <w:pPr>
        <w:spacing w:line="480" w:lineRule="exact"/>
        <w:ind w:firstLine="420"/>
        <w:rPr>
          <w:rFonts w:ascii="宋体" w:hAnsi="宋体"/>
          <w:color w:val="auto"/>
          <w:szCs w:val="21"/>
          <w:highlight w:val="none"/>
        </w:rPr>
      </w:pPr>
      <w:r>
        <w:rPr>
          <w:rFonts w:hint="eastAsia" w:ascii="宋体" w:hAnsi="宋体"/>
          <w:color w:val="auto"/>
          <w:szCs w:val="21"/>
          <w:highlight w:val="none"/>
        </w:rPr>
        <w:t>线上提交与接收时间：提交投标文件截止时间（详见投标人须知前附表）。</w:t>
      </w:r>
    </w:p>
    <w:p w14:paraId="7FB4D976">
      <w:pPr>
        <w:spacing w:line="480" w:lineRule="exact"/>
        <w:ind w:firstLine="420"/>
        <w:rPr>
          <w:rFonts w:ascii="宋体" w:hAnsi="宋体"/>
          <w:color w:val="auto"/>
          <w:szCs w:val="21"/>
          <w:highlight w:val="none"/>
        </w:rPr>
      </w:pPr>
      <w:r>
        <w:rPr>
          <w:rFonts w:hint="eastAsia" w:ascii="宋体" w:hAnsi="宋体"/>
          <w:color w:val="auto"/>
          <w:szCs w:val="21"/>
          <w:highlight w:val="none"/>
        </w:rPr>
        <w:t>12.2投标文件提交与接收地点：</w:t>
      </w:r>
    </w:p>
    <w:p w14:paraId="35184755">
      <w:pPr>
        <w:spacing w:line="480" w:lineRule="exact"/>
        <w:ind w:firstLine="420"/>
        <w:rPr>
          <w:rFonts w:ascii="宋体" w:hAnsi="宋体"/>
          <w:color w:val="auto"/>
          <w:szCs w:val="21"/>
          <w:highlight w:val="none"/>
        </w:rPr>
      </w:pPr>
      <w:r>
        <w:rPr>
          <w:rFonts w:hint="eastAsia" w:ascii="宋体" w:hAnsi="宋体"/>
          <w:color w:val="auto"/>
          <w:szCs w:val="21"/>
          <w:highlight w:val="none"/>
        </w:rPr>
        <w:t>线上提交与接收地点：投标人应当通过“苏采云”系统提交数据电文形式的投标文件（即电子投标），“苏采云”系统自动接收。</w:t>
      </w:r>
    </w:p>
    <w:p w14:paraId="3636DC2D">
      <w:pPr>
        <w:spacing w:line="480" w:lineRule="exact"/>
        <w:ind w:firstLine="420"/>
        <w:rPr>
          <w:rFonts w:ascii="宋体" w:hAnsi="宋体"/>
          <w:color w:val="auto"/>
          <w:szCs w:val="21"/>
          <w:highlight w:val="none"/>
        </w:rPr>
      </w:pPr>
      <w:r>
        <w:rPr>
          <w:rFonts w:hint="eastAsia" w:ascii="宋体" w:hAnsi="宋体"/>
          <w:color w:val="auto"/>
          <w:szCs w:val="21"/>
          <w:highlight w:val="none"/>
        </w:rPr>
        <w:t>说明：电子投标文件应由其法定代表人或法定代表人授权代表在规定的网上投标时间内，凭 CA 证书登录“苏采云”系统在线编制投标文件（电子数据），并在投标截止时间之前上传投标文件。投标人应在达到开标时间后，使用CA数字证书解密各自投标文件。</w:t>
      </w:r>
    </w:p>
    <w:p w14:paraId="4B76E8EF">
      <w:pPr>
        <w:spacing w:line="480" w:lineRule="exact"/>
        <w:ind w:firstLine="420"/>
        <w:rPr>
          <w:rFonts w:ascii="宋体" w:hAnsi="宋体"/>
          <w:color w:val="auto"/>
          <w:szCs w:val="21"/>
          <w:highlight w:val="none"/>
        </w:rPr>
      </w:pPr>
      <w:r>
        <w:rPr>
          <w:rFonts w:hint="eastAsia" w:ascii="宋体" w:hAnsi="宋体"/>
          <w:color w:val="auto"/>
          <w:szCs w:val="21"/>
          <w:highlight w:val="none"/>
        </w:rPr>
        <w:t>13．投标文件的撤回与修改</w:t>
      </w:r>
    </w:p>
    <w:p w14:paraId="7A7CADDD">
      <w:pPr>
        <w:spacing w:line="480" w:lineRule="exact"/>
        <w:ind w:firstLine="420"/>
        <w:rPr>
          <w:rFonts w:ascii="宋体" w:hAnsi="宋体"/>
          <w:color w:val="auto"/>
          <w:szCs w:val="21"/>
          <w:highlight w:val="none"/>
        </w:rPr>
      </w:pPr>
      <w:r>
        <w:rPr>
          <w:rFonts w:hint="eastAsia" w:ascii="宋体" w:hAnsi="宋体"/>
          <w:color w:val="auto"/>
          <w:szCs w:val="21"/>
          <w:highlight w:val="none"/>
        </w:rPr>
        <w:t>13.1投标文件的撤回</w:t>
      </w:r>
    </w:p>
    <w:p w14:paraId="26ABE252">
      <w:pPr>
        <w:spacing w:line="480" w:lineRule="exact"/>
        <w:ind w:firstLine="420"/>
        <w:rPr>
          <w:rFonts w:ascii="宋体" w:hAnsi="宋体"/>
          <w:color w:val="auto"/>
          <w:szCs w:val="21"/>
          <w:highlight w:val="none"/>
        </w:rPr>
      </w:pPr>
      <w:r>
        <w:rPr>
          <w:rFonts w:hint="eastAsia" w:ascii="宋体" w:hAnsi="宋体"/>
          <w:color w:val="auto"/>
          <w:szCs w:val="21"/>
          <w:highlight w:val="none"/>
        </w:rPr>
        <w:t>13.1.1电子投标文件的撤回</w:t>
      </w:r>
    </w:p>
    <w:p w14:paraId="4592DACE">
      <w:pPr>
        <w:spacing w:line="480" w:lineRule="exact"/>
        <w:ind w:firstLine="420"/>
        <w:rPr>
          <w:rFonts w:ascii="宋体" w:hAnsi="宋体"/>
          <w:color w:val="auto"/>
          <w:szCs w:val="21"/>
          <w:highlight w:val="none"/>
        </w:rPr>
      </w:pPr>
      <w:r>
        <w:rPr>
          <w:rFonts w:hint="eastAsia" w:ascii="宋体" w:hAnsi="宋体"/>
          <w:color w:val="auto"/>
          <w:szCs w:val="21"/>
          <w:highlight w:val="none"/>
        </w:rPr>
        <w:t>投标人可在投标截止时间前，撤回其电子投标文件，具体操作方法见《操作手册》。</w:t>
      </w:r>
    </w:p>
    <w:p w14:paraId="2AA6B1A4">
      <w:pPr>
        <w:spacing w:line="480" w:lineRule="exact"/>
        <w:ind w:firstLine="420"/>
        <w:rPr>
          <w:rFonts w:ascii="宋体" w:hAnsi="宋体"/>
          <w:color w:val="auto"/>
          <w:szCs w:val="21"/>
          <w:highlight w:val="none"/>
        </w:rPr>
      </w:pPr>
      <w:r>
        <w:rPr>
          <w:rFonts w:hint="eastAsia" w:ascii="宋体" w:hAnsi="宋体"/>
          <w:color w:val="auto"/>
          <w:szCs w:val="21"/>
          <w:highlight w:val="none"/>
        </w:rPr>
        <w:t>13.1.2投标人撤回电子投标文件，则认为其不再参与本项目投标活动。</w:t>
      </w:r>
    </w:p>
    <w:p w14:paraId="2D4A178C">
      <w:pPr>
        <w:spacing w:line="480" w:lineRule="exact"/>
        <w:ind w:firstLine="420"/>
        <w:rPr>
          <w:rFonts w:ascii="宋体" w:hAnsi="宋体"/>
          <w:color w:val="auto"/>
          <w:szCs w:val="21"/>
          <w:highlight w:val="none"/>
        </w:rPr>
      </w:pPr>
      <w:r>
        <w:rPr>
          <w:rFonts w:hint="eastAsia" w:ascii="宋体" w:hAnsi="宋体"/>
          <w:color w:val="auto"/>
          <w:szCs w:val="21"/>
          <w:highlight w:val="none"/>
        </w:rPr>
        <w:t>13.2 投标文件的修改</w:t>
      </w:r>
    </w:p>
    <w:p w14:paraId="0176F828">
      <w:pPr>
        <w:spacing w:line="480" w:lineRule="exact"/>
        <w:ind w:firstLine="420"/>
        <w:rPr>
          <w:rFonts w:ascii="宋体" w:hAnsi="宋体"/>
          <w:color w:val="auto"/>
          <w:szCs w:val="21"/>
          <w:highlight w:val="none"/>
        </w:rPr>
      </w:pPr>
      <w:r>
        <w:rPr>
          <w:rFonts w:hint="eastAsia" w:ascii="宋体" w:hAnsi="宋体"/>
          <w:color w:val="auto"/>
          <w:szCs w:val="21"/>
          <w:highlight w:val="none"/>
        </w:rPr>
        <w:t>投标人可在投标截止时间前，对其电子投标文件进行修改，具体操作方法见《操作手册》。</w:t>
      </w:r>
    </w:p>
    <w:p w14:paraId="40D5DB67">
      <w:pPr>
        <w:spacing w:line="480" w:lineRule="exact"/>
        <w:ind w:firstLine="420"/>
        <w:rPr>
          <w:rFonts w:ascii="宋体" w:hAnsi="宋体"/>
          <w:color w:val="auto"/>
          <w:szCs w:val="21"/>
          <w:highlight w:val="none"/>
        </w:rPr>
      </w:pPr>
      <w:r>
        <w:rPr>
          <w:rFonts w:hint="eastAsia" w:ascii="宋体" w:hAnsi="宋体"/>
          <w:color w:val="auto"/>
          <w:szCs w:val="21"/>
          <w:highlight w:val="none"/>
        </w:rPr>
        <w:t>13.3 在投标截止时间之后，投标人不得对其电子投标文件作任何修改。</w:t>
      </w:r>
    </w:p>
    <w:p w14:paraId="56BCA8DD">
      <w:pPr>
        <w:spacing w:line="480" w:lineRule="exact"/>
        <w:ind w:firstLine="420"/>
        <w:rPr>
          <w:rFonts w:ascii="宋体" w:hAnsi="宋体"/>
          <w:color w:val="auto"/>
          <w:szCs w:val="21"/>
          <w:highlight w:val="none"/>
        </w:rPr>
      </w:pPr>
      <w:r>
        <w:rPr>
          <w:rFonts w:hint="eastAsia" w:ascii="宋体" w:hAnsi="宋体"/>
          <w:color w:val="auto"/>
          <w:szCs w:val="21"/>
          <w:highlight w:val="none"/>
        </w:rPr>
        <w:t>13.4 在投标截止时间至招标文件中规定的投标有效期满之间的这段时间内，投标人不得撤回其投标。</w:t>
      </w:r>
    </w:p>
    <w:p w14:paraId="452EC559">
      <w:pPr>
        <w:spacing w:line="480" w:lineRule="exact"/>
        <w:ind w:firstLine="422"/>
        <w:rPr>
          <w:rFonts w:ascii="宋体" w:hAnsi="宋体"/>
          <w:b/>
          <w:color w:val="auto"/>
          <w:szCs w:val="21"/>
          <w:highlight w:val="none"/>
        </w:rPr>
      </w:pPr>
      <w:r>
        <w:rPr>
          <w:rFonts w:hint="eastAsia" w:ascii="宋体" w:hAnsi="宋体"/>
          <w:b/>
          <w:color w:val="auto"/>
          <w:szCs w:val="21"/>
          <w:highlight w:val="none"/>
        </w:rPr>
        <w:t>五、开标及资格审查</w:t>
      </w:r>
    </w:p>
    <w:p w14:paraId="40D7422E">
      <w:pPr>
        <w:spacing w:line="480" w:lineRule="exact"/>
        <w:ind w:firstLine="420"/>
        <w:rPr>
          <w:rFonts w:ascii="宋体" w:hAnsi="宋体"/>
          <w:color w:val="auto"/>
          <w:szCs w:val="21"/>
          <w:highlight w:val="none"/>
        </w:rPr>
      </w:pPr>
      <w:r>
        <w:rPr>
          <w:rFonts w:hint="eastAsia" w:ascii="宋体" w:hAnsi="宋体"/>
          <w:color w:val="auto"/>
          <w:szCs w:val="21"/>
          <w:highlight w:val="none"/>
        </w:rPr>
        <w:t>14．开标、唱标、资格审查</w:t>
      </w:r>
    </w:p>
    <w:p w14:paraId="113D8F5E">
      <w:pPr>
        <w:spacing w:line="480" w:lineRule="exact"/>
        <w:ind w:firstLine="420"/>
        <w:rPr>
          <w:rFonts w:ascii="宋体" w:hAnsi="宋体"/>
          <w:color w:val="auto"/>
          <w:szCs w:val="21"/>
          <w:highlight w:val="none"/>
        </w:rPr>
      </w:pPr>
      <w:r>
        <w:rPr>
          <w:rFonts w:hint="eastAsia" w:ascii="宋体" w:hAnsi="宋体"/>
          <w:color w:val="auto"/>
          <w:szCs w:val="21"/>
          <w:highlight w:val="none"/>
        </w:rPr>
        <w:t>14.1 线上开标时，“苏采云”系统自动提取所有投标文件，投标人按招标文件规定方式按时在线解密。本项目招标文件规定的投标人按时在线解密方式：通过“苏采云”系统（使用“CA数字证书”）解密。</w:t>
      </w:r>
    </w:p>
    <w:p w14:paraId="4F2999F6">
      <w:pPr>
        <w:spacing w:line="480" w:lineRule="exact"/>
        <w:ind w:firstLine="420"/>
        <w:rPr>
          <w:rFonts w:ascii="宋体" w:hAnsi="宋体"/>
          <w:color w:val="auto"/>
          <w:szCs w:val="21"/>
          <w:highlight w:val="none"/>
        </w:rPr>
      </w:pPr>
      <w:r>
        <w:rPr>
          <w:rFonts w:hint="eastAsia" w:ascii="宋体" w:hAnsi="宋体"/>
          <w:color w:val="auto"/>
          <w:szCs w:val="21"/>
          <w:highlight w:val="none"/>
        </w:rPr>
        <w:t>14.2所有投标人解密（或解密时间）结束后，“苏采云”系统生成开标记录并向社会公众公布，但依法应当保密的除外。</w:t>
      </w:r>
    </w:p>
    <w:p w14:paraId="4D0B7874">
      <w:pPr>
        <w:spacing w:line="480" w:lineRule="exact"/>
        <w:ind w:firstLine="420"/>
        <w:rPr>
          <w:rFonts w:ascii="宋体" w:hAnsi="宋体"/>
          <w:color w:val="auto"/>
          <w:szCs w:val="21"/>
          <w:highlight w:val="none"/>
        </w:rPr>
      </w:pPr>
      <w:r>
        <w:rPr>
          <w:rFonts w:hint="eastAsia" w:ascii="宋体" w:hAnsi="宋体"/>
          <w:color w:val="auto"/>
          <w:szCs w:val="21"/>
          <w:highlight w:val="none"/>
        </w:rPr>
        <w:t>14.3开标时，《开标一览表》（报价表）内容与投标文件中相应内容不一致的，以《开标一览表》（报价表）为准。</w:t>
      </w:r>
    </w:p>
    <w:p w14:paraId="695CD31F">
      <w:pPr>
        <w:spacing w:line="480" w:lineRule="exact"/>
        <w:ind w:firstLine="420"/>
        <w:rPr>
          <w:rFonts w:ascii="宋体" w:hAnsi="宋体"/>
          <w:color w:val="auto"/>
          <w:szCs w:val="21"/>
          <w:highlight w:val="none"/>
        </w:rPr>
      </w:pPr>
      <w:r>
        <w:rPr>
          <w:rFonts w:hint="eastAsia" w:ascii="宋体" w:hAnsi="宋体"/>
          <w:color w:val="auto"/>
          <w:szCs w:val="21"/>
          <w:highlight w:val="none"/>
        </w:rPr>
        <w:t>14.4 投标文件、《开标一览表》（报价表）中报价的大写金额与小写金额不一致的，以大写金额为准。</w:t>
      </w:r>
    </w:p>
    <w:p w14:paraId="1102C6A4">
      <w:pPr>
        <w:spacing w:line="480" w:lineRule="exact"/>
        <w:ind w:firstLine="420"/>
        <w:rPr>
          <w:rFonts w:ascii="宋体" w:hAnsi="宋体"/>
          <w:color w:val="auto"/>
          <w:szCs w:val="21"/>
          <w:highlight w:val="none"/>
        </w:rPr>
      </w:pPr>
      <w:r>
        <w:rPr>
          <w:rFonts w:hint="eastAsia" w:ascii="宋体" w:hAnsi="宋体"/>
          <w:color w:val="auto"/>
          <w:szCs w:val="21"/>
          <w:highlight w:val="none"/>
        </w:rPr>
        <w:t>14.5 单价金额小数点或者百分比有明显错位的，以《开标一览表》（报价表）的总价为准，并修改单价；</w:t>
      </w:r>
    </w:p>
    <w:p w14:paraId="64DE9C9A">
      <w:pPr>
        <w:spacing w:line="480" w:lineRule="exact"/>
        <w:ind w:firstLine="420"/>
        <w:rPr>
          <w:rFonts w:ascii="宋体" w:hAnsi="宋体"/>
          <w:color w:val="auto"/>
          <w:szCs w:val="21"/>
          <w:highlight w:val="none"/>
        </w:rPr>
      </w:pPr>
      <w:r>
        <w:rPr>
          <w:rFonts w:hint="eastAsia" w:ascii="宋体" w:hAnsi="宋体"/>
          <w:color w:val="auto"/>
          <w:szCs w:val="21"/>
          <w:highlight w:val="none"/>
        </w:rPr>
        <w:t>14.6 总价金额与按单价汇总金额不一致的，以单价金额计算结果为准；</w:t>
      </w:r>
    </w:p>
    <w:p w14:paraId="616368AA">
      <w:pPr>
        <w:spacing w:line="480" w:lineRule="exact"/>
        <w:ind w:firstLine="420"/>
        <w:rPr>
          <w:rFonts w:ascii="宋体" w:hAnsi="宋体"/>
          <w:color w:val="auto"/>
          <w:szCs w:val="21"/>
          <w:highlight w:val="none"/>
        </w:rPr>
      </w:pPr>
      <w:r>
        <w:rPr>
          <w:rFonts w:hint="eastAsia" w:ascii="宋体" w:hAnsi="宋体"/>
          <w:color w:val="auto"/>
          <w:szCs w:val="21"/>
          <w:highlight w:val="none"/>
        </w:rPr>
        <w:t>14.7同时出现14.3-14.6中两种以上不一致的,按照14.3-14.6的顺序修正。修正后的报价由法定代表人/单位负责人或其授权的代表签章确认后产生约束力，投标人不确认的，投标无效。</w:t>
      </w:r>
    </w:p>
    <w:p w14:paraId="2E77C275">
      <w:pPr>
        <w:spacing w:line="480" w:lineRule="exact"/>
        <w:ind w:firstLine="420"/>
        <w:rPr>
          <w:rFonts w:ascii="宋体" w:hAnsi="宋体"/>
          <w:color w:val="auto"/>
          <w:szCs w:val="21"/>
          <w:highlight w:val="none"/>
        </w:rPr>
      </w:pPr>
      <w:r>
        <w:rPr>
          <w:rFonts w:hint="eastAsia" w:ascii="宋体" w:hAnsi="宋体"/>
          <w:color w:val="auto"/>
          <w:szCs w:val="21"/>
          <w:highlight w:val="none"/>
        </w:rPr>
        <w:t>14.8 对不同文字文本投标文件的解释发生异议的，以中文文本为准。</w:t>
      </w:r>
    </w:p>
    <w:p w14:paraId="77A1F706">
      <w:pPr>
        <w:spacing w:line="480" w:lineRule="exact"/>
        <w:ind w:firstLine="420"/>
        <w:rPr>
          <w:rFonts w:ascii="宋体" w:hAnsi="宋体"/>
          <w:color w:val="auto"/>
          <w:szCs w:val="21"/>
          <w:highlight w:val="none"/>
        </w:rPr>
      </w:pPr>
      <w:r>
        <w:rPr>
          <w:rFonts w:hint="eastAsia" w:ascii="宋体" w:hAnsi="宋体"/>
          <w:color w:val="auto"/>
          <w:szCs w:val="21"/>
          <w:highlight w:val="none"/>
        </w:rPr>
        <w:t>14.9资格审查：开标结束后，依据法规政策和招标文件的规定，在对投标文件详细评估之前，采购人或采购代理机构将依据投标人提交的投标文件按招标公告所述的资格要求对投标人进行资格审查, 以确定其是否具备投标资格。如果投标人不具备投标资格、不满足招标文件所规定的资格标准或提供资格证明文件不全, 其投标将被作为无效投标，不得参与下一环节的评审。</w:t>
      </w:r>
    </w:p>
    <w:p w14:paraId="75DBC96A">
      <w:pPr>
        <w:spacing w:line="480" w:lineRule="exact"/>
        <w:ind w:firstLine="420"/>
        <w:rPr>
          <w:rFonts w:ascii="宋体" w:hAnsi="宋体"/>
          <w:color w:val="auto"/>
          <w:szCs w:val="21"/>
          <w:highlight w:val="none"/>
        </w:rPr>
      </w:pPr>
      <w:r>
        <w:rPr>
          <w:rFonts w:hint="eastAsia" w:ascii="宋体" w:hAnsi="宋体"/>
          <w:color w:val="auto"/>
          <w:szCs w:val="21"/>
          <w:highlight w:val="none"/>
        </w:rPr>
        <w:t>采购人及采购代理机构在进行资格性审查的同时，将在“信用中国”网站（www.creditchina.gov.cn）对投标人是否被列入失信被执行人、重大税收违法案件当事人名单、政府采购严重失信行为记录名单情况进行查询，以确定投标人是否具备投标资格。</w:t>
      </w:r>
    </w:p>
    <w:p w14:paraId="6D1CC938">
      <w:pPr>
        <w:spacing w:line="480" w:lineRule="exact"/>
        <w:ind w:firstLine="422"/>
        <w:rPr>
          <w:rFonts w:ascii="宋体" w:hAnsi="宋体"/>
          <w:b/>
          <w:color w:val="auto"/>
          <w:szCs w:val="21"/>
          <w:highlight w:val="none"/>
        </w:rPr>
      </w:pPr>
      <w:r>
        <w:rPr>
          <w:rFonts w:hint="eastAsia" w:ascii="宋体" w:hAnsi="宋体"/>
          <w:b/>
          <w:color w:val="auto"/>
          <w:szCs w:val="21"/>
          <w:highlight w:val="none"/>
        </w:rPr>
        <w:t>六、评  标</w:t>
      </w:r>
    </w:p>
    <w:p w14:paraId="4395FA11">
      <w:pPr>
        <w:spacing w:line="480" w:lineRule="exact"/>
        <w:ind w:firstLine="420"/>
        <w:rPr>
          <w:rFonts w:ascii="宋体" w:hAnsi="宋体"/>
          <w:color w:val="auto"/>
          <w:szCs w:val="21"/>
          <w:highlight w:val="none"/>
        </w:rPr>
      </w:pPr>
      <w:r>
        <w:rPr>
          <w:rFonts w:hint="eastAsia" w:ascii="宋体" w:hAnsi="宋体"/>
          <w:color w:val="auto"/>
          <w:szCs w:val="21"/>
          <w:highlight w:val="none"/>
        </w:rPr>
        <w:t>15．组建评标委员会</w:t>
      </w:r>
    </w:p>
    <w:p w14:paraId="598CA44D">
      <w:pPr>
        <w:spacing w:line="480" w:lineRule="exact"/>
        <w:ind w:firstLine="420"/>
        <w:rPr>
          <w:rFonts w:ascii="宋体" w:hAnsi="宋体"/>
          <w:color w:val="auto"/>
          <w:szCs w:val="21"/>
          <w:highlight w:val="none"/>
        </w:rPr>
      </w:pPr>
      <w:r>
        <w:rPr>
          <w:rFonts w:hint="eastAsia" w:ascii="宋体" w:hAnsi="宋体"/>
          <w:color w:val="auto"/>
          <w:szCs w:val="21"/>
          <w:highlight w:val="none"/>
        </w:rPr>
        <w:t>采购单位根据项目的特点依法组建评标委员会。开标后由评标委员会对投标文件进行审查、质疑、评估和比较。评标委员会完成评标后，应当向采购人提出书面评标报告，推荐1名有排序的中标候选人。</w:t>
      </w:r>
    </w:p>
    <w:p w14:paraId="27BB70A5">
      <w:pPr>
        <w:spacing w:line="480" w:lineRule="exact"/>
        <w:ind w:firstLine="420"/>
        <w:rPr>
          <w:rFonts w:ascii="宋体" w:hAnsi="宋体"/>
          <w:color w:val="auto"/>
          <w:szCs w:val="21"/>
          <w:highlight w:val="none"/>
        </w:rPr>
      </w:pPr>
      <w:r>
        <w:rPr>
          <w:rFonts w:hint="eastAsia" w:ascii="宋体" w:hAnsi="宋体"/>
          <w:color w:val="auto"/>
          <w:szCs w:val="21"/>
          <w:highlight w:val="none"/>
        </w:rPr>
        <w:t>16．投标文件的审查</w:t>
      </w:r>
    </w:p>
    <w:p w14:paraId="326E91E8">
      <w:pPr>
        <w:spacing w:line="480" w:lineRule="exact"/>
        <w:ind w:firstLine="420"/>
        <w:rPr>
          <w:rFonts w:ascii="宋体" w:hAnsi="宋体"/>
          <w:color w:val="auto"/>
          <w:szCs w:val="21"/>
          <w:highlight w:val="none"/>
        </w:rPr>
      </w:pPr>
      <w:r>
        <w:rPr>
          <w:rFonts w:hint="eastAsia" w:ascii="宋体" w:hAnsi="宋体"/>
          <w:color w:val="auto"/>
          <w:szCs w:val="21"/>
          <w:highlight w:val="none"/>
        </w:rPr>
        <w:t>16.1对所有投标人的评估，都采用相同的程序和标准。评标过程将严格按照招标文件的要求和条件进行。</w:t>
      </w:r>
    </w:p>
    <w:p w14:paraId="3025A871">
      <w:pPr>
        <w:spacing w:line="480" w:lineRule="exact"/>
        <w:ind w:firstLine="420"/>
        <w:rPr>
          <w:rFonts w:ascii="宋体" w:hAnsi="宋体"/>
          <w:color w:val="auto"/>
          <w:szCs w:val="21"/>
          <w:highlight w:val="none"/>
        </w:rPr>
      </w:pPr>
      <w:r>
        <w:rPr>
          <w:rFonts w:hint="eastAsia" w:ascii="宋体" w:hAnsi="宋体"/>
          <w:color w:val="auto"/>
          <w:szCs w:val="21"/>
          <w:highlight w:val="none"/>
        </w:rPr>
        <w:t>16.2评标委员会将对投标文件进行检查，以确定投标文件是否完整、有无计算上的错误、文件是否已正确签署等。</w:t>
      </w:r>
    </w:p>
    <w:p w14:paraId="577715E6">
      <w:pPr>
        <w:spacing w:line="480" w:lineRule="exact"/>
        <w:ind w:firstLine="420"/>
        <w:rPr>
          <w:rFonts w:ascii="宋体" w:hAnsi="宋体"/>
          <w:color w:val="auto"/>
          <w:szCs w:val="21"/>
          <w:highlight w:val="none"/>
        </w:rPr>
      </w:pPr>
      <w:r>
        <w:rPr>
          <w:rFonts w:hint="eastAsia" w:ascii="宋体" w:hAnsi="宋体"/>
          <w:color w:val="auto"/>
          <w:szCs w:val="21"/>
          <w:highlight w:val="none"/>
        </w:rPr>
        <w:t>16.3评标委员会将对确定为实质性响应的投标文件进行进一步评审，看其是否有计算上或累加上的算术错误，修正错误的原则如下：</w:t>
      </w:r>
    </w:p>
    <w:p w14:paraId="2407E003">
      <w:pPr>
        <w:spacing w:line="480" w:lineRule="exact"/>
        <w:ind w:firstLine="420"/>
        <w:rPr>
          <w:rFonts w:ascii="宋体" w:hAnsi="宋体"/>
          <w:color w:val="auto"/>
          <w:szCs w:val="21"/>
          <w:highlight w:val="none"/>
        </w:rPr>
      </w:pPr>
      <w:r>
        <w:rPr>
          <w:rFonts w:hint="eastAsia" w:ascii="宋体" w:hAnsi="宋体"/>
          <w:color w:val="auto"/>
          <w:szCs w:val="21"/>
          <w:highlight w:val="none"/>
        </w:rPr>
        <w:t>16.3.1如果用数字表示的金额和用文字表示的金额不一致时，应以文字表示的金额为准进行修正；</w:t>
      </w:r>
    </w:p>
    <w:p w14:paraId="778C218D">
      <w:pPr>
        <w:spacing w:line="480" w:lineRule="exact"/>
        <w:ind w:firstLine="420"/>
        <w:rPr>
          <w:rFonts w:ascii="宋体" w:hAnsi="宋体"/>
          <w:color w:val="auto"/>
          <w:szCs w:val="21"/>
          <w:highlight w:val="none"/>
        </w:rPr>
      </w:pPr>
      <w:r>
        <w:rPr>
          <w:rFonts w:hint="eastAsia" w:ascii="宋体" w:hAnsi="宋体"/>
          <w:color w:val="auto"/>
          <w:szCs w:val="21"/>
          <w:highlight w:val="none"/>
        </w:rPr>
        <w:t>16.3.2当单价与数量的乘积和总价不一致时，以单价为准进行修正。只有在评委会认为单价有明显的小数点错误时，才能以标出的总价为准，并修改单价；</w:t>
      </w:r>
    </w:p>
    <w:p w14:paraId="36495B5D">
      <w:pPr>
        <w:spacing w:line="480" w:lineRule="exact"/>
        <w:ind w:firstLine="420"/>
        <w:rPr>
          <w:rFonts w:ascii="宋体" w:hAnsi="宋体"/>
          <w:color w:val="auto"/>
          <w:szCs w:val="21"/>
          <w:highlight w:val="none"/>
        </w:rPr>
      </w:pPr>
      <w:r>
        <w:rPr>
          <w:rFonts w:hint="eastAsia" w:ascii="宋体" w:hAnsi="宋体"/>
          <w:color w:val="auto"/>
          <w:szCs w:val="21"/>
          <w:highlight w:val="none"/>
        </w:rPr>
        <w:t>16.3.3评标委员会将按上述修正错误的方法调整投标文件中的投标价，调整后的价格应对投标人具有约束力。如果投标人不接受修正后的价格，则其投标将被拒绝；</w:t>
      </w:r>
    </w:p>
    <w:p w14:paraId="758E47F2">
      <w:pPr>
        <w:spacing w:line="480" w:lineRule="exact"/>
        <w:ind w:firstLine="420"/>
        <w:rPr>
          <w:rFonts w:ascii="宋体" w:hAnsi="宋体"/>
          <w:color w:val="auto"/>
          <w:szCs w:val="21"/>
          <w:highlight w:val="none"/>
        </w:rPr>
      </w:pPr>
      <w:r>
        <w:rPr>
          <w:rFonts w:hint="eastAsia" w:ascii="宋体" w:hAnsi="宋体"/>
          <w:color w:val="auto"/>
          <w:szCs w:val="21"/>
          <w:highlight w:val="none"/>
        </w:rPr>
        <w:t>16.3.4评委会将允许修正投标文件中不构成重大偏离的、微小的、非正规的、不一致的或不规则的地方，但这些修改不能影响任何投标人相应的名次排列。</w:t>
      </w:r>
    </w:p>
    <w:p w14:paraId="63130E2B">
      <w:pPr>
        <w:spacing w:line="480" w:lineRule="exact"/>
        <w:ind w:firstLine="420"/>
        <w:rPr>
          <w:rFonts w:ascii="宋体" w:hAnsi="宋体"/>
          <w:color w:val="auto"/>
          <w:szCs w:val="21"/>
          <w:highlight w:val="none"/>
        </w:rPr>
      </w:pPr>
      <w:r>
        <w:rPr>
          <w:rFonts w:hint="eastAsia" w:ascii="宋体" w:hAnsi="宋体"/>
          <w:color w:val="auto"/>
          <w:szCs w:val="21"/>
          <w:highlight w:val="none"/>
        </w:rPr>
        <w:t>16.4符合性检查：</w:t>
      </w:r>
    </w:p>
    <w:p w14:paraId="326F59B6">
      <w:pPr>
        <w:spacing w:line="480" w:lineRule="exact"/>
        <w:ind w:firstLine="420"/>
        <w:rPr>
          <w:rFonts w:ascii="宋体" w:hAnsi="宋体"/>
          <w:color w:val="auto"/>
          <w:szCs w:val="21"/>
          <w:highlight w:val="none"/>
        </w:rPr>
      </w:pPr>
      <w:r>
        <w:rPr>
          <w:rFonts w:hint="eastAsia" w:ascii="宋体" w:hAnsi="宋体"/>
          <w:color w:val="auto"/>
          <w:szCs w:val="21"/>
          <w:highlight w:val="none"/>
        </w:rPr>
        <w:t>16.4.1符合性检查：依据招标文件的规定，评标委员会将对通过资格审查的投标文件的有效性、完整性和对招标文件的响应程度进行审查，以确定是否符合对招标文件的实质性要求作出响应。对没有实质性响应的投标文件将不进行评估，其投标被作为无效投标。凡有下列情况之一者，投标文件将被视为未实质性响应招标文件要求。</w:t>
      </w:r>
    </w:p>
    <w:p w14:paraId="4826E380">
      <w:pPr>
        <w:spacing w:line="480" w:lineRule="exact"/>
        <w:ind w:firstLine="420"/>
        <w:rPr>
          <w:rFonts w:ascii="宋体" w:hAnsi="宋体"/>
          <w:color w:val="auto"/>
          <w:szCs w:val="21"/>
          <w:highlight w:val="none"/>
        </w:rPr>
      </w:pPr>
      <w:r>
        <w:rPr>
          <w:rFonts w:hint="eastAsia" w:ascii="宋体" w:hAnsi="宋体"/>
          <w:color w:val="auto"/>
          <w:szCs w:val="21"/>
          <w:highlight w:val="none"/>
        </w:rPr>
        <w:t>（1）投标人未按照招标文件要求上传电子投标文件的；</w:t>
      </w:r>
    </w:p>
    <w:p w14:paraId="2D797AD1">
      <w:pPr>
        <w:spacing w:line="480" w:lineRule="exact"/>
        <w:ind w:firstLine="420"/>
        <w:rPr>
          <w:rFonts w:ascii="宋体" w:hAnsi="宋体"/>
          <w:color w:val="auto"/>
          <w:szCs w:val="21"/>
          <w:highlight w:val="none"/>
        </w:rPr>
      </w:pPr>
      <w:r>
        <w:rPr>
          <w:rFonts w:hint="eastAsia" w:ascii="宋体" w:hAnsi="宋体"/>
          <w:color w:val="auto"/>
          <w:szCs w:val="21"/>
          <w:highlight w:val="none"/>
        </w:rPr>
        <w:t>（2）投标人未在规定解密时间内进行解密；</w:t>
      </w:r>
    </w:p>
    <w:p w14:paraId="6857F4CB">
      <w:pPr>
        <w:spacing w:line="480" w:lineRule="exact"/>
        <w:ind w:firstLine="420"/>
        <w:rPr>
          <w:rFonts w:ascii="宋体" w:hAnsi="宋体"/>
          <w:color w:val="auto"/>
          <w:szCs w:val="21"/>
          <w:highlight w:val="none"/>
        </w:rPr>
      </w:pPr>
      <w:r>
        <w:rPr>
          <w:rFonts w:hint="eastAsia" w:ascii="宋体" w:hAnsi="宋体"/>
          <w:color w:val="auto"/>
          <w:szCs w:val="21"/>
          <w:highlight w:val="none"/>
        </w:rPr>
        <w:t>（3）投标人在报价时采用选择性报价；</w:t>
      </w:r>
    </w:p>
    <w:p w14:paraId="6ABF47D1">
      <w:pPr>
        <w:spacing w:line="480" w:lineRule="exact"/>
        <w:ind w:firstLine="420"/>
        <w:rPr>
          <w:rFonts w:ascii="宋体" w:hAnsi="宋体"/>
          <w:color w:val="auto"/>
          <w:szCs w:val="21"/>
          <w:highlight w:val="none"/>
        </w:rPr>
      </w:pPr>
      <w:r>
        <w:rPr>
          <w:rFonts w:hint="eastAsia" w:ascii="宋体" w:hAnsi="宋体"/>
          <w:color w:val="auto"/>
          <w:szCs w:val="21"/>
          <w:highlight w:val="none"/>
        </w:rPr>
        <w:t>（4）投标人不具备招标文件中规定资格要求的；</w:t>
      </w:r>
    </w:p>
    <w:p w14:paraId="0AD65F30">
      <w:pPr>
        <w:spacing w:line="480" w:lineRule="exact"/>
        <w:ind w:firstLine="420"/>
        <w:rPr>
          <w:rFonts w:ascii="宋体" w:hAnsi="宋体"/>
          <w:color w:val="auto"/>
          <w:szCs w:val="21"/>
          <w:highlight w:val="none"/>
        </w:rPr>
      </w:pPr>
      <w:r>
        <w:rPr>
          <w:rFonts w:hint="eastAsia" w:ascii="宋体" w:hAnsi="宋体"/>
          <w:color w:val="auto"/>
          <w:szCs w:val="21"/>
          <w:highlight w:val="none"/>
        </w:rPr>
        <w:t>（5）投标人的报价超过了采购预算或最高限价的；</w:t>
      </w:r>
    </w:p>
    <w:p w14:paraId="155410B4">
      <w:pPr>
        <w:spacing w:line="480" w:lineRule="exact"/>
        <w:ind w:firstLine="420"/>
        <w:rPr>
          <w:rFonts w:ascii="宋体" w:hAnsi="宋体"/>
          <w:color w:val="auto"/>
          <w:szCs w:val="21"/>
          <w:highlight w:val="none"/>
        </w:rPr>
      </w:pPr>
      <w:r>
        <w:rPr>
          <w:rFonts w:hint="eastAsia" w:ascii="宋体" w:hAnsi="宋体"/>
          <w:color w:val="auto"/>
          <w:szCs w:val="21"/>
          <w:highlight w:val="none"/>
        </w:rPr>
        <w:t>（6）未通过符合性检查的；</w:t>
      </w:r>
    </w:p>
    <w:p w14:paraId="78C5F36B">
      <w:pPr>
        <w:spacing w:line="480" w:lineRule="exact"/>
        <w:ind w:firstLine="420"/>
        <w:rPr>
          <w:rFonts w:ascii="宋体" w:hAnsi="宋体"/>
          <w:color w:val="auto"/>
          <w:szCs w:val="21"/>
          <w:highlight w:val="none"/>
        </w:rPr>
      </w:pPr>
      <w:r>
        <w:rPr>
          <w:rFonts w:hint="eastAsia" w:ascii="宋体" w:hAnsi="宋体"/>
          <w:color w:val="auto"/>
          <w:szCs w:val="21"/>
          <w:highlight w:val="none"/>
        </w:rPr>
        <w:t>（7）不符合招标文件中规定的其他实质性要求和条件的；</w:t>
      </w:r>
    </w:p>
    <w:p w14:paraId="73098A74">
      <w:pPr>
        <w:spacing w:line="480" w:lineRule="exact"/>
        <w:ind w:firstLine="420"/>
        <w:rPr>
          <w:rFonts w:ascii="宋体" w:hAnsi="宋体"/>
          <w:color w:val="auto"/>
          <w:szCs w:val="21"/>
          <w:highlight w:val="none"/>
        </w:rPr>
      </w:pPr>
      <w:r>
        <w:rPr>
          <w:rFonts w:hint="eastAsia" w:ascii="宋体" w:hAnsi="宋体"/>
          <w:color w:val="auto"/>
          <w:szCs w:val="21"/>
          <w:highlight w:val="none"/>
        </w:rPr>
        <w:t>（8）投标人串通投标；</w:t>
      </w:r>
    </w:p>
    <w:p w14:paraId="51469495">
      <w:pPr>
        <w:spacing w:line="480" w:lineRule="exact"/>
        <w:ind w:firstLine="420"/>
        <w:rPr>
          <w:rFonts w:ascii="宋体" w:hAnsi="宋体"/>
          <w:color w:val="auto"/>
          <w:szCs w:val="21"/>
          <w:highlight w:val="none"/>
        </w:rPr>
      </w:pPr>
      <w:r>
        <w:rPr>
          <w:rFonts w:hint="eastAsia" w:ascii="宋体" w:hAnsi="宋体"/>
          <w:color w:val="auto"/>
          <w:szCs w:val="21"/>
          <w:highlight w:val="none"/>
        </w:rPr>
        <w:t>（9）投标文件含有采购人不能接受的附加条件的。</w:t>
      </w:r>
    </w:p>
    <w:p w14:paraId="2B761075">
      <w:pPr>
        <w:spacing w:line="480" w:lineRule="exact"/>
        <w:ind w:firstLine="420"/>
        <w:rPr>
          <w:rFonts w:ascii="宋体" w:hAnsi="宋体"/>
          <w:color w:val="auto"/>
          <w:szCs w:val="21"/>
          <w:highlight w:val="none"/>
        </w:rPr>
      </w:pPr>
      <w:r>
        <w:rPr>
          <w:rFonts w:hint="eastAsia" w:ascii="宋体" w:hAnsi="宋体"/>
          <w:color w:val="auto"/>
          <w:szCs w:val="21"/>
          <w:highlight w:val="none"/>
        </w:rPr>
        <w:t>（10）不符合招标文件中规定的其它实质性条款以及法律法规规定的其他情形。</w:t>
      </w:r>
    </w:p>
    <w:p w14:paraId="41F8BCA9">
      <w:pPr>
        <w:spacing w:line="480" w:lineRule="exact"/>
        <w:ind w:firstLine="420"/>
        <w:rPr>
          <w:rFonts w:ascii="宋体" w:hAnsi="宋体"/>
          <w:color w:val="auto"/>
          <w:szCs w:val="21"/>
          <w:highlight w:val="none"/>
        </w:rPr>
      </w:pPr>
      <w:r>
        <w:rPr>
          <w:rFonts w:hint="eastAsia" w:ascii="宋体" w:hAnsi="宋体"/>
          <w:color w:val="auto"/>
          <w:szCs w:val="21"/>
          <w:highlight w:val="none"/>
        </w:rPr>
        <w:t>（11）被“信用中国”网站（www.creditchina.gov.cn）列入失信被执行人、重大税收违法案件当事人名单、政府采购严重失信行为记录名单</w:t>
      </w:r>
    </w:p>
    <w:p w14:paraId="408FE3AB">
      <w:pPr>
        <w:spacing w:line="480" w:lineRule="exact"/>
        <w:ind w:firstLine="420"/>
        <w:rPr>
          <w:rFonts w:ascii="宋体" w:hAnsi="宋体"/>
          <w:color w:val="auto"/>
          <w:szCs w:val="21"/>
          <w:highlight w:val="none"/>
        </w:rPr>
      </w:pPr>
      <w:r>
        <w:rPr>
          <w:rFonts w:hint="eastAsia" w:ascii="宋体" w:hAnsi="宋体"/>
          <w:color w:val="auto"/>
          <w:szCs w:val="21"/>
          <w:highlight w:val="none"/>
        </w:rPr>
        <w:t>（12）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p>
    <w:p w14:paraId="2F9F511C">
      <w:pPr>
        <w:spacing w:line="480" w:lineRule="exact"/>
        <w:ind w:firstLine="420"/>
        <w:rPr>
          <w:rFonts w:ascii="宋体" w:hAnsi="宋体"/>
          <w:color w:val="auto"/>
          <w:szCs w:val="21"/>
          <w:highlight w:val="none"/>
        </w:rPr>
      </w:pPr>
      <w:r>
        <w:rPr>
          <w:rFonts w:hint="eastAsia" w:ascii="宋体" w:hAnsi="宋体"/>
          <w:color w:val="auto"/>
          <w:szCs w:val="21"/>
          <w:highlight w:val="none"/>
        </w:rPr>
        <w:t>（13）投标文件未按照招标文件要求加盖电子签章。</w:t>
      </w:r>
    </w:p>
    <w:p w14:paraId="7EBB3A3B">
      <w:pPr>
        <w:spacing w:line="480" w:lineRule="exact"/>
        <w:ind w:firstLine="420"/>
        <w:rPr>
          <w:rFonts w:ascii="宋体" w:hAnsi="宋体"/>
          <w:color w:val="auto"/>
          <w:szCs w:val="21"/>
          <w:highlight w:val="none"/>
        </w:rPr>
      </w:pPr>
      <w:r>
        <w:rPr>
          <w:rFonts w:hint="eastAsia" w:ascii="宋体" w:hAnsi="宋体"/>
          <w:color w:val="auto"/>
          <w:szCs w:val="21"/>
          <w:highlight w:val="none"/>
        </w:rPr>
        <w:t>（14）其他法律、法规及本招标文件规定的属无效投标的情形。</w:t>
      </w:r>
    </w:p>
    <w:p w14:paraId="6426B06B">
      <w:pPr>
        <w:spacing w:line="480" w:lineRule="exact"/>
        <w:ind w:firstLine="420"/>
        <w:rPr>
          <w:rFonts w:ascii="宋体" w:hAnsi="宋体"/>
          <w:color w:val="auto"/>
          <w:szCs w:val="21"/>
          <w:highlight w:val="none"/>
        </w:rPr>
      </w:pPr>
      <w:r>
        <w:rPr>
          <w:rFonts w:hint="eastAsia" w:ascii="宋体" w:hAnsi="宋体"/>
          <w:color w:val="auto"/>
          <w:szCs w:val="21"/>
          <w:highlight w:val="none"/>
        </w:rPr>
        <w:t>评标委员会决定投标响应性只根据投标文件本身的内容，而不寻求其他的外部证据。</w:t>
      </w:r>
    </w:p>
    <w:p w14:paraId="6D04267E">
      <w:pPr>
        <w:spacing w:line="480" w:lineRule="exact"/>
        <w:ind w:firstLine="420"/>
        <w:rPr>
          <w:rFonts w:ascii="宋体" w:hAnsi="宋体"/>
          <w:color w:val="auto"/>
          <w:szCs w:val="21"/>
          <w:highlight w:val="none"/>
        </w:rPr>
      </w:pPr>
      <w:r>
        <w:rPr>
          <w:rFonts w:hint="eastAsia" w:ascii="宋体" w:hAnsi="宋体"/>
          <w:color w:val="auto"/>
          <w:szCs w:val="21"/>
          <w:highlight w:val="none"/>
        </w:rPr>
        <w:t>16.5在评审过程中，评标委员会发现投标人有下列情形之一的，可以认定属于串标、围标的行为。具体表现形式如下：</w:t>
      </w:r>
    </w:p>
    <w:p w14:paraId="35CA8389">
      <w:pPr>
        <w:spacing w:line="480" w:lineRule="exact"/>
        <w:ind w:firstLine="420"/>
        <w:rPr>
          <w:rFonts w:ascii="宋体" w:hAnsi="宋体"/>
          <w:color w:val="auto"/>
          <w:szCs w:val="21"/>
          <w:highlight w:val="none"/>
        </w:rPr>
      </w:pPr>
      <w:r>
        <w:rPr>
          <w:rFonts w:hint="eastAsia" w:ascii="宋体" w:hAnsi="宋体"/>
          <w:color w:val="auto"/>
          <w:szCs w:val="21"/>
          <w:highlight w:val="none"/>
        </w:rPr>
        <w:t>16.5.1不同投标人的投标文件异常一致或者投标报价呈规律性差异的。</w:t>
      </w:r>
    </w:p>
    <w:p w14:paraId="46A7E958">
      <w:pPr>
        <w:spacing w:line="480" w:lineRule="exact"/>
        <w:ind w:firstLine="420"/>
        <w:rPr>
          <w:rFonts w:ascii="宋体" w:hAnsi="宋体"/>
          <w:color w:val="auto"/>
          <w:szCs w:val="21"/>
          <w:highlight w:val="none"/>
        </w:rPr>
      </w:pPr>
      <w:r>
        <w:rPr>
          <w:rFonts w:hint="eastAsia" w:ascii="宋体" w:hAnsi="宋体"/>
          <w:color w:val="auto"/>
          <w:szCs w:val="21"/>
          <w:highlight w:val="none"/>
        </w:rPr>
        <w:t>16.5.2不同投标人的投标文件由同一单位或个人编制的。</w:t>
      </w:r>
    </w:p>
    <w:p w14:paraId="0856EEDD">
      <w:pPr>
        <w:spacing w:line="480" w:lineRule="exact"/>
        <w:ind w:firstLine="420"/>
        <w:rPr>
          <w:rFonts w:ascii="宋体" w:hAnsi="宋体"/>
          <w:color w:val="auto"/>
          <w:szCs w:val="21"/>
          <w:highlight w:val="none"/>
        </w:rPr>
      </w:pPr>
      <w:r>
        <w:rPr>
          <w:rFonts w:hint="eastAsia" w:ascii="宋体" w:hAnsi="宋体"/>
          <w:color w:val="auto"/>
          <w:szCs w:val="21"/>
          <w:highlight w:val="none"/>
        </w:rPr>
        <w:t>16.5.3不同投标人的投标文件载明的项目管理成员为同一人的。</w:t>
      </w:r>
    </w:p>
    <w:p w14:paraId="0044616F">
      <w:pPr>
        <w:spacing w:line="480" w:lineRule="exact"/>
        <w:ind w:firstLine="420"/>
        <w:rPr>
          <w:rFonts w:ascii="宋体" w:hAnsi="宋体"/>
          <w:color w:val="auto"/>
          <w:szCs w:val="21"/>
          <w:highlight w:val="none"/>
        </w:rPr>
      </w:pPr>
      <w:r>
        <w:rPr>
          <w:rFonts w:hint="eastAsia" w:ascii="宋体" w:hAnsi="宋体"/>
          <w:color w:val="auto"/>
          <w:szCs w:val="21"/>
          <w:highlight w:val="none"/>
        </w:rPr>
        <w:t>16.5.4不同投标人的投标文件相互混装的。</w:t>
      </w:r>
    </w:p>
    <w:p w14:paraId="1AB826E7">
      <w:pPr>
        <w:spacing w:line="480" w:lineRule="exact"/>
        <w:ind w:firstLine="420"/>
        <w:rPr>
          <w:rFonts w:ascii="宋体" w:hAnsi="宋体"/>
          <w:color w:val="auto"/>
          <w:szCs w:val="21"/>
          <w:highlight w:val="none"/>
        </w:rPr>
      </w:pPr>
      <w:r>
        <w:rPr>
          <w:rFonts w:hint="eastAsia" w:ascii="宋体" w:hAnsi="宋体"/>
          <w:color w:val="auto"/>
          <w:szCs w:val="21"/>
          <w:highlight w:val="none"/>
        </w:rPr>
        <w:t>16.5.5不同投标人授权同一人作为投标人代表的。</w:t>
      </w:r>
    </w:p>
    <w:p w14:paraId="03A5960E">
      <w:pPr>
        <w:spacing w:line="480" w:lineRule="exact"/>
        <w:ind w:firstLine="420"/>
        <w:rPr>
          <w:rFonts w:ascii="宋体" w:hAnsi="宋体"/>
          <w:color w:val="auto"/>
          <w:szCs w:val="21"/>
          <w:highlight w:val="none"/>
        </w:rPr>
      </w:pPr>
      <w:r>
        <w:rPr>
          <w:rFonts w:hint="eastAsia" w:ascii="宋体" w:hAnsi="宋体"/>
          <w:color w:val="auto"/>
          <w:szCs w:val="21"/>
          <w:highlight w:val="none"/>
        </w:rPr>
        <w:t>16.5.6 有证据证明投标人与采购单位、采购代理机构或其他投标人串通的其他情形的。</w:t>
      </w:r>
    </w:p>
    <w:p w14:paraId="07170686">
      <w:pPr>
        <w:spacing w:line="480" w:lineRule="exact"/>
        <w:ind w:firstLine="420"/>
        <w:rPr>
          <w:rFonts w:ascii="宋体" w:hAnsi="宋体"/>
          <w:color w:val="auto"/>
          <w:szCs w:val="21"/>
          <w:highlight w:val="none"/>
        </w:rPr>
      </w:pPr>
      <w:r>
        <w:rPr>
          <w:rFonts w:hint="eastAsia" w:ascii="宋体" w:hAnsi="宋体"/>
          <w:color w:val="auto"/>
          <w:szCs w:val="21"/>
          <w:highlight w:val="none"/>
        </w:rPr>
        <w:t>16.5.7评标委员会认定的其他串标、围标情形。</w:t>
      </w:r>
    </w:p>
    <w:p w14:paraId="5C4B73E1">
      <w:pPr>
        <w:spacing w:line="480" w:lineRule="exact"/>
        <w:ind w:firstLine="420"/>
        <w:rPr>
          <w:rFonts w:ascii="宋体" w:hAnsi="宋体"/>
          <w:color w:val="auto"/>
          <w:szCs w:val="21"/>
          <w:highlight w:val="none"/>
        </w:rPr>
      </w:pPr>
      <w:r>
        <w:rPr>
          <w:rFonts w:hint="eastAsia" w:ascii="宋体" w:hAnsi="宋体"/>
          <w:color w:val="auto"/>
          <w:szCs w:val="21"/>
          <w:highlight w:val="none"/>
        </w:rPr>
        <w:t>16.6有下列情形之一的予以废标，同时将废标理由通知所有服务单位：</w:t>
      </w:r>
    </w:p>
    <w:p w14:paraId="45BBCC74">
      <w:pPr>
        <w:spacing w:line="480" w:lineRule="exact"/>
        <w:ind w:firstLine="420"/>
        <w:rPr>
          <w:rFonts w:ascii="宋体" w:hAnsi="宋体"/>
          <w:color w:val="auto"/>
          <w:szCs w:val="21"/>
          <w:highlight w:val="none"/>
        </w:rPr>
      </w:pPr>
      <w:r>
        <w:rPr>
          <w:rFonts w:hint="eastAsia" w:ascii="宋体" w:hAnsi="宋体"/>
          <w:color w:val="auto"/>
          <w:szCs w:val="21"/>
          <w:highlight w:val="none"/>
        </w:rPr>
        <w:t>（1）符合专业条件的服务单位或者对招标文件作实质性响应的服务单位不足三家的；</w:t>
      </w:r>
    </w:p>
    <w:p w14:paraId="3173068C">
      <w:pPr>
        <w:spacing w:line="480" w:lineRule="exact"/>
        <w:ind w:firstLine="420"/>
        <w:rPr>
          <w:rFonts w:ascii="宋体" w:hAnsi="宋体"/>
          <w:color w:val="auto"/>
          <w:szCs w:val="21"/>
          <w:highlight w:val="none"/>
        </w:rPr>
      </w:pPr>
      <w:r>
        <w:rPr>
          <w:rFonts w:hint="eastAsia" w:ascii="宋体" w:hAnsi="宋体"/>
          <w:color w:val="auto"/>
          <w:szCs w:val="21"/>
          <w:highlight w:val="none"/>
        </w:rPr>
        <w:t>（2）出现影响采购公正的违法、违规行为的；</w:t>
      </w:r>
    </w:p>
    <w:p w14:paraId="08E79842">
      <w:pPr>
        <w:spacing w:line="480" w:lineRule="exact"/>
        <w:ind w:firstLine="420"/>
        <w:rPr>
          <w:rFonts w:ascii="宋体" w:hAnsi="宋体"/>
          <w:color w:val="auto"/>
          <w:szCs w:val="21"/>
          <w:highlight w:val="none"/>
        </w:rPr>
      </w:pPr>
      <w:r>
        <w:rPr>
          <w:rFonts w:hint="eastAsia" w:ascii="宋体" w:hAnsi="宋体"/>
          <w:color w:val="auto"/>
          <w:szCs w:val="21"/>
          <w:highlight w:val="none"/>
        </w:rPr>
        <w:t>（3）服务单位的报价均超过了采购预算或最高限价的，采购人不能支付的；</w:t>
      </w:r>
    </w:p>
    <w:p w14:paraId="7348D928">
      <w:pPr>
        <w:spacing w:line="480" w:lineRule="exact"/>
        <w:ind w:firstLine="420"/>
        <w:rPr>
          <w:rFonts w:ascii="宋体" w:hAnsi="宋体"/>
          <w:color w:val="auto"/>
          <w:szCs w:val="21"/>
          <w:highlight w:val="none"/>
        </w:rPr>
      </w:pPr>
      <w:r>
        <w:rPr>
          <w:rFonts w:hint="eastAsia" w:ascii="宋体" w:hAnsi="宋体"/>
          <w:color w:val="auto"/>
          <w:szCs w:val="21"/>
          <w:highlight w:val="none"/>
        </w:rPr>
        <w:t>（4）因重大变故，采购任务取消的；</w:t>
      </w:r>
    </w:p>
    <w:p w14:paraId="73BC56A9">
      <w:pPr>
        <w:spacing w:line="480" w:lineRule="exact"/>
        <w:ind w:firstLine="420"/>
        <w:rPr>
          <w:rFonts w:ascii="宋体" w:hAnsi="宋体"/>
          <w:color w:val="auto"/>
          <w:szCs w:val="21"/>
          <w:highlight w:val="none"/>
        </w:rPr>
      </w:pPr>
      <w:r>
        <w:rPr>
          <w:rFonts w:hint="eastAsia" w:ascii="宋体" w:hAnsi="宋体"/>
          <w:color w:val="auto"/>
          <w:szCs w:val="21"/>
          <w:highlight w:val="none"/>
        </w:rPr>
        <w:t>（5）投标文件存在歧义、重大缺陷，或者招标文件内容违反国家有关强制性规定的。</w:t>
      </w:r>
    </w:p>
    <w:p w14:paraId="169C4300">
      <w:pPr>
        <w:spacing w:line="480" w:lineRule="exact"/>
        <w:ind w:firstLine="420"/>
        <w:rPr>
          <w:rFonts w:ascii="宋体" w:hAnsi="宋体"/>
          <w:color w:val="auto"/>
          <w:szCs w:val="21"/>
          <w:highlight w:val="none"/>
        </w:rPr>
      </w:pPr>
      <w:r>
        <w:rPr>
          <w:rFonts w:hint="eastAsia" w:ascii="宋体" w:hAnsi="宋体"/>
          <w:color w:val="auto"/>
          <w:szCs w:val="21"/>
          <w:highlight w:val="none"/>
        </w:rPr>
        <w:t>17．比较与评价</w:t>
      </w:r>
    </w:p>
    <w:p w14:paraId="37D94948">
      <w:pPr>
        <w:spacing w:line="480" w:lineRule="exact"/>
        <w:ind w:firstLine="420"/>
        <w:rPr>
          <w:rFonts w:ascii="宋体" w:hAnsi="宋体"/>
          <w:color w:val="auto"/>
          <w:szCs w:val="21"/>
          <w:highlight w:val="none"/>
        </w:rPr>
      </w:pPr>
      <w:r>
        <w:rPr>
          <w:rFonts w:hint="eastAsia" w:ascii="宋体" w:hAnsi="宋体"/>
          <w:color w:val="auto"/>
          <w:szCs w:val="21"/>
          <w:highlight w:val="none"/>
        </w:rPr>
        <w:t>17.1评标委员会将按本招标文件规定的评标方法与标准，对资格性检查和符合性检查合格的投标文件进行商务和技术评估，综合比较与评价。</w:t>
      </w:r>
    </w:p>
    <w:p w14:paraId="400DA59B">
      <w:pPr>
        <w:spacing w:line="480" w:lineRule="exact"/>
        <w:ind w:firstLine="420"/>
        <w:rPr>
          <w:rFonts w:ascii="宋体" w:hAnsi="宋体"/>
          <w:color w:val="auto"/>
          <w:szCs w:val="21"/>
          <w:highlight w:val="none"/>
        </w:rPr>
      </w:pPr>
      <w:r>
        <w:rPr>
          <w:rFonts w:hint="eastAsia" w:ascii="宋体" w:hAnsi="宋体"/>
          <w:color w:val="auto"/>
          <w:szCs w:val="21"/>
          <w:highlight w:val="none"/>
        </w:rPr>
        <w:t>17.2对漏（缺）报项的处理：招标文件中要求列入报价的费用（含配置、功能），漏（缺）报的视同已含在投标总价中。对多报项及赠送项的价格评标时不予核减，全部进入评标评议。</w:t>
      </w:r>
    </w:p>
    <w:p w14:paraId="436A7B6F">
      <w:pPr>
        <w:spacing w:line="480" w:lineRule="exact"/>
        <w:ind w:firstLine="420"/>
        <w:rPr>
          <w:rFonts w:ascii="宋体" w:hAnsi="宋体"/>
          <w:color w:val="auto"/>
          <w:szCs w:val="21"/>
          <w:highlight w:val="none"/>
        </w:rPr>
      </w:pPr>
      <w:r>
        <w:rPr>
          <w:rFonts w:hint="eastAsia" w:ascii="宋体" w:hAnsi="宋体"/>
          <w:color w:val="auto"/>
          <w:szCs w:val="21"/>
          <w:highlight w:val="none"/>
        </w:rPr>
        <w:t>18．评标过程及保密原则</w:t>
      </w:r>
    </w:p>
    <w:p w14:paraId="216B3141">
      <w:pPr>
        <w:spacing w:line="480" w:lineRule="exact"/>
        <w:ind w:firstLine="420"/>
        <w:rPr>
          <w:rFonts w:ascii="宋体" w:hAnsi="宋体"/>
          <w:color w:val="auto"/>
          <w:szCs w:val="21"/>
          <w:highlight w:val="none"/>
        </w:rPr>
      </w:pPr>
      <w:r>
        <w:rPr>
          <w:rFonts w:hint="eastAsia" w:ascii="宋体" w:hAnsi="宋体"/>
          <w:color w:val="auto"/>
          <w:szCs w:val="21"/>
          <w:highlight w:val="none"/>
        </w:rPr>
        <w:t>18.1凡与本次招标有关人员对属于审查、澄清、评价和比较投标的有关资料以及定标意向等，均不得向投标人或其他人员透露。否则,将按有关规定追究相关人员的责任。</w:t>
      </w:r>
    </w:p>
    <w:p w14:paraId="39EF196A">
      <w:pPr>
        <w:spacing w:line="480" w:lineRule="exact"/>
        <w:ind w:firstLine="420"/>
        <w:rPr>
          <w:rFonts w:ascii="宋体" w:hAnsi="宋体"/>
          <w:color w:val="auto"/>
          <w:szCs w:val="21"/>
          <w:highlight w:val="none"/>
        </w:rPr>
      </w:pPr>
      <w:r>
        <w:rPr>
          <w:rFonts w:hint="eastAsia" w:ascii="宋体" w:hAnsi="宋体"/>
          <w:color w:val="auto"/>
          <w:szCs w:val="21"/>
          <w:highlight w:val="none"/>
        </w:rPr>
        <w:t>18.2在评标期间，投标人试图影响或干预评审的任何行为，将导致其投标被作为无效投标，并承担相应的法律责任。</w:t>
      </w:r>
    </w:p>
    <w:p w14:paraId="0DECFC8F">
      <w:pPr>
        <w:spacing w:line="480" w:lineRule="exact"/>
        <w:ind w:firstLine="422"/>
        <w:rPr>
          <w:rFonts w:ascii="宋体" w:hAnsi="宋体"/>
          <w:b/>
          <w:color w:val="auto"/>
          <w:szCs w:val="21"/>
          <w:highlight w:val="none"/>
        </w:rPr>
      </w:pPr>
      <w:r>
        <w:rPr>
          <w:rFonts w:hint="eastAsia" w:ascii="宋体" w:hAnsi="宋体"/>
          <w:b/>
          <w:color w:val="auto"/>
          <w:szCs w:val="21"/>
          <w:highlight w:val="none"/>
        </w:rPr>
        <w:t>七、定  标</w:t>
      </w:r>
    </w:p>
    <w:p w14:paraId="3A53C2B9">
      <w:pPr>
        <w:spacing w:line="480" w:lineRule="exact"/>
        <w:ind w:firstLine="420"/>
        <w:rPr>
          <w:rFonts w:ascii="宋体" w:hAnsi="宋体"/>
          <w:color w:val="auto"/>
          <w:szCs w:val="21"/>
          <w:highlight w:val="none"/>
        </w:rPr>
      </w:pPr>
      <w:r>
        <w:rPr>
          <w:rFonts w:hint="eastAsia" w:ascii="宋体" w:hAnsi="宋体"/>
          <w:color w:val="auto"/>
          <w:szCs w:val="21"/>
          <w:highlight w:val="none"/>
        </w:rPr>
        <w:t>19．定标原则</w:t>
      </w:r>
    </w:p>
    <w:p w14:paraId="6233CB20">
      <w:pPr>
        <w:spacing w:line="480" w:lineRule="exact"/>
        <w:ind w:firstLine="420"/>
        <w:rPr>
          <w:rFonts w:ascii="宋体" w:hAnsi="宋体"/>
          <w:color w:val="auto"/>
          <w:szCs w:val="21"/>
          <w:highlight w:val="none"/>
        </w:rPr>
      </w:pPr>
      <w:r>
        <w:rPr>
          <w:rFonts w:hint="eastAsia" w:ascii="宋体" w:hAnsi="宋体"/>
          <w:color w:val="auto"/>
          <w:szCs w:val="21"/>
          <w:highlight w:val="none"/>
        </w:rPr>
        <w:t>19.1本次评标采用综合评分法。评标委员会对满足招标文件实质性要求的投标文件，按照本招标文件规定的评分标准进行打分，并按得分由高到低顺序推荐1名中标候选人，或根据招标人授权直接确定中标人。综合评分相等时，以投标报价低的优先；投标报价也相等的，由采购人或评标委员会抽签确定。最低报价及任何单项因素的最优均不是中标的必要条件。</w:t>
      </w:r>
    </w:p>
    <w:p w14:paraId="419B0F7E">
      <w:pPr>
        <w:spacing w:line="480" w:lineRule="exact"/>
        <w:ind w:firstLine="420"/>
        <w:rPr>
          <w:rFonts w:ascii="宋体" w:hAnsi="宋体"/>
          <w:color w:val="auto"/>
          <w:szCs w:val="21"/>
          <w:highlight w:val="none"/>
        </w:rPr>
      </w:pPr>
      <w:r>
        <w:rPr>
          <w:rFonts w:hint="eastAsia" w:ascii="宋体" w:hAnsi="宋体"/>
          <w:color w:val="auto"/>
          <w:szCs w:val="21"/>
          <w:highlight w:val="none"/>
        </w:rPr>
        <w:t>19.2推荐的中标候选人数：1名。排名第一的中标候选人放弃中标、因不可抗力不能履行合同、不按照招标文件要求提交履约保证金，或者被查实存在影响中标结果的违法行为等情形，不符合中标条件的，招标人可以按照评标委员会提出的中标候选人名单排序依次确定其他中标候选人为中标人，也可以重新招标。</w:t>
      </w:r>
    </w:p>
    <w:p w14:paraId="11666839">
      <w:pPr>
        <w:spacing w:line="480" w:lineRule="exact"/>
        <w:ind w:firstLine="420"/>
        <w:rPr>
          <w:rFonts w:ascii="宋体" w:hAnsi="宋体"/>
          <w:color w:val="auto"/>
          <w:szCs w:val="21"/>
          <w:highlight w:val="none"/>
        </w:rPr>
      </w:pPr>
      <w:r>
        <w:rPr>
          <w:rFonts w:hint="eastAsia" w:ascii="宋体" w:hAnsi="宋体"/>
          <w:color w:val="auto"/>
          <w:szCs w:val="21"/>
          <w:highlight w:val="none"/>
        </w:rPr>
        <w:t>20．确定中标供应商</w:t>
      </w:r>
    </w:p>
    <w:p w14:paraId="6D2E46A4">
      <w:pPr>
        <w:spacing w:line="480" w:lineRule="exact"/>
        <w:ind w:firstLine="420"/>
        <w:rPr>
          <w:rFonts w:ascii="宋体" w:hAnsi="宋体"/>
          <w:color w:val="auto"/>
          <w:szCs w:val="21"/>
          <w:highlight w:val="none"/>
        </w:rPr>
      </w:pPr>
      <w:r>
        <w:rPr>
          <w:rFonts w:hint="eastAsia" w:ascii="宋体" w:hAnsi="宋体"/>
          <w:color w:val="auto"/>
          <w:szCs w:val="21"/>
          <w:highlight w:val="none"/>
        </w:rPr>
        <w:t>采购人将根据评标委员会的书面评标报告，依据法律法规确定中标人。采购人不得在评标委员会推荐的中标候选人之外确定中标人，否则中标结果无效。</w:t>
      </w:r>
    </w:p>
    <w:p w14:paraId="10A34D83">
      <w:pPr>
        <w:spacing w:line="480" w:lineRule="exact"/>
        <w:ind w:firstLine="420"/>
        <w:rPr>
          <w:rFonts w:ascii="宋体" w:hAnsi="宋体"/>
          <w:color w:val="auto"/>
          <w:szCs w:val="21"/>
          <w:highlight w:val="none"/>
        </w:rPr>
      </w:pPr>
      <w:r>
        <w:rPr>
          <w:rFonts w:hint="eastAsia" w:ascii="宋体" w:hAnsi="宋体"/>
          <w:color w:val="auto"/>
          <w:szCs w:val="21"/>
          <w:highlight w:val="none"/>
        </w:rPr>
        <w:t>21. 中标通知书和签订合同</w:t>
      </w:r>
    </w:p>
    <w:p w14:paraId="15F88CFE">
      <w:pPr>
        <w:spacing w:line="480" w:lineRule="exact"/>
        <w:ind w:firstLine="420"/>
        <w:rPr>
          <w:rFonts w:ascii="宋体" w:hAnsi="宋体"/>
          <w:color w:val="auto"/>
          <w:szCs w:val="21"/>
          <w:highlight w:val="none"/>
        </w:rPr>
      </w:pPr>
      <w:r>
        <w:rPr>
          <w:rFonts w:hint="eastAsia" w:ascii="宋体" w:hAnsi="宋体"/>
          <w:color w:val="auto"/>
          <w:szCs w:val="21"/>
          <w:highlight w:val="none"/>
        </w:rPr>
        <w:t>21.1 评审结束后，中标公告在中国政府采购网、江苏省政府采购网、盐城市政府采购网发布；向中标供应商发出中标通知书。中标通知书成为合同文件的组成部分，具有法律效力。</w:t>
      </w:r>
    </w:p>
    <w:p w14:paraId="0773C29C">
      <w:pPr>
        <w:spacing w:line="480" w:lineRule="exact"/>
        <w:ind w:firstLine="420"/>
        <w:rPr>
          <w:rFonts w:ascii="宋体" w:hAnsi="宋体"/>
          <w:color w:val="auto"/>
          <w:szCs w:val="21"/>
          <w:highlight w:val="none"/>
        </w:rPr>
      </w:pPr>
      <w:r>
        <w:rPr>
          <w:rFonts w:hint="eastAsia" w:ascii="宋体" w:hAnsi="宋体"/>
          <w:color w:val="auto"/>
          <w:szCs w:val="21"/>
          <w:highlight w:val="none"/>
        </w:rPr>
        <w:t>21.</w:t>
      </w:r>
      <w:r>
        <w:rPr>
          <w:rFonts w:ascii="宋体" w:hAnsi="宋体"/>
          <w:color w:val="auto"/>
          <w:szCs w:val="21"/>
          <w:highlight w:val="none"/>
        </w:rPr>
        <w:t>2</w:t>
      </w:r>
      <w:r>
        <w:rPr>
          <w:rFonts w:hint="eastAsia" w:ascii="宋体" w:hAnsi="宋体"/>
          <w:color w:val="auto"/>
          <w:szCs w:val="21"/>
          <w:highlight w:val="none"/>
        </w:rPr>
        <w:t xml:space="preserve"> 采购单位与中标供应商应当在《中标通知书》发出之日起三十日内，按采购文件确定的事情签订政府采购合同，合同在签订之日2个工作日内在相关媒介上公示。</w:t>
      </w:r>
    </w:p>
    <w:p w14:paraId="7943F576">
      <w:pPr>
        <w:spacing w:line="480" w:lineRule="exact"/>
        <w:ind w:firstLine="420"/>
        <w:rPr>
          <w:rFonts w:ascii="宋体" w:hAnsi="宋体"/>
          <w:color w:val="auto"/>
          <w:szCs w:val="21"/>
          <w:highlight w:val="none"/>
        </w:rPr>
      </w:pPr>
      <w:r>
        <w:rPr>
          <w:rFonts w:hint="eastAsia" w:ascii="宋体" w:hAnsi="宋体"/>
          <w:color w:val="auto"/>
          <w:szCs w:val="21"/>
          <w:highlight w:val="none"/>
        </w:rPr>
        <w:t>21.</w:t>
      </w:r>
      <w:r>
        <w:rPr>
          <w:rFonts w:ascii="宋体" w:hAnsi="宋体"/>
          <w:color w:val="auto"/>
          <w:szCs w:val="21"/>
          <w:highlight w:val="none"/>
        </w:rPr>
        <w:t>3</w:t>
      </w:r>
      <w:r>
        <w:rPr>
          <w:rFonts w:hint="eastAsia" w:ascii="宋体" w:hAnsi="宋体"/>
          <w:color w:val="auto"/>
          <w:szCs w:val="21"/>
          <w:highlight w:val="none"/>
        </w:rPr>
        <w:t xml:space="preserve"> 中标单位如果未按中标通知书规定日期与采购单位签订合同，或要求更改招标文件内容而拖延合同签订，按照政府采购法相关法律法规执行。</w:t>
      </w:r>
    </w:p>
    <w:p w14:paraId="3BBF7E32">
      <w:pPr>
        <w:spacing w:line="480" w:lineRule="exact"/>
        <w:ind w:firstLine="420"/>
        <w:rPr>
          <w:rFonts w:ascii="宋体" w:hAnsi="宋体"/>
          <w:color w:val="auto"/>
          <w:szCs w:val="21"/>
          <w:highlight w:val="none"/>
        </w:rPr>
      </w:pPr>
      <w:r>
        <w:rPr>
          <w:rFonts w:hint="eastAsia" w:ascii="宋体" w:hAnsi="宋体"/>
          <w:color w:val="auto"/>
          <w:szCs w:val="21"/>
          <w:highlight w:val="none"/>
        </w:rPr>
        <w:t>22. 质疑和投诉：</w:t>
      </w:r>
    </w:p>
    <w:p w14:paraId="6C3D97BB">
      <w:pPr>
        <w:spacing w:line="480" w:lineRule="exact"/>
        <w:ind w:firstLine="420"/>
        <w:rPr>
          <w:rFonts w:ascii="宋体" w:hAnsi="宋体"/>
          <w:color w:val="auto"/>
          <w:szCs w:val="21"/>
          <w:highlight w:val="none"/>
        </w:rPr>
      </w:pPr>
      <w:r>
        <w:rPr>
          <w:rFonts w:hint="eastAsia" w:ascii="宋体" w:hAnsi="宋体"/>
          <w:color w:val="auto"/>
          <w:szCs w:val="21"/>
          <w:highlight w:val="none"/>
        </w:rPr>
        <w:t>22.1 质疑供应商是指直接参加本次投标活动的供应商，未参加投标活动的供应商或在投标活动中自身权益未受到损害的供应商所提出的质疑不予受理。</w:t>
      </w:r>
    </w:p>
    <w:p w14:paraId="0E4FBE53">
      <w:pPr>
        <w:spacing w:line="480" w:lineRule="exact"/>
        <w:ind w:firstLine="420"/>
        <w:rPr>
          <w:rFonts w:ascii="宋体" w:hAnsi="宋体"/>
          <w:color w:val="auto"/>
          <w:szCs w:val="21"/>
          <w:highlight w:val="none"/>
        </w:rPr>
      </w:pPr>
      <w:r>
        <w:rPr>
          <w:rFonts w:hint="eastAsia" w:ascii="宋体" w:hAnsi="宋体"/>
          <w:color w:val="auto"/>
          <w:szCs w:val="21"/>
          <w:highlight w:val="none"/>
        </w:rPr>
        <w:t>22.2 质疑供应商认为招标文件、采购过程和中标结果使自己的权益受到损害的，可以在知道或应知其权益受到损害之日起七个工作日内必须以书面形式一次性针对同一采购程序环节向采购人、采购代理机构提出质疑。上述应知其权益受到损害之日，是指：</w:t>
      </w:r>
    </w:p>
    <w:p w14:paraId="0ED7D0BA">
      <w:pPr>
        <w:spacing w:line="480" w:lineRule="exact"/>
        <w:ind w:firstLine="420"/>
        <w:rPr>
          <w:rFonts w:ascii="宋体" w:hAnsi="宋体"/>
          <w:color w:val="auto"/>
          <w:szCs w:val="21"/>
          <w:highlight w:val="none"/>
        </w:rPr>
      </w:pPr>
      <w:r>
        <w:rPr>
          <w:rFonts w:ascii="宋体" w:hAnsi="宋体"/>
          <w:color w:val="auto"/>
          <w:szCs w:val="21"/>
          <w:highlight w:val="none"/>
        </w:rPr>
        <w:t>22.2</w:t>
      </w:r>
      <w:r>
        <w:rPr>
          <w:rFonts w:hint="eastAsia" w:ascii="宋体" w:hAnsi="宋体"/>
          <w:color w:val="auto"/>
          <w:szCs w:val="21"/>
          <w:highlight w:val="none"/>
        </w:rPr>
        <w:t>.1对可以质疑的招标文件提出质疑的，为收到招标文件之日或者招标文件公告期限届满之日；</w:t>
      </w:r>
    </w:p>
    <w:p w14:paraId="62C65C10">
      <w:pPr>
        <w:spacing w:line="480" w:lineRule="exact"/>
        <w:ind w:firstLine="420"/>
        <w:rPr>
          <w:rFonts w:ascii="宋体" w:hAnsi="宋体"/>
          <w:color w:val="auto"/>
          <w:szCs w:val="21"/>
          <w:highlight w:val="none"/>
        </w:rPr>
      </w:pPr>
      <w:r>
        <w:rPr>
          <w:rFonts w:ascii="宋体" w:hAnsi="宋体"/>
          <w:color w:val="auto"/>
          <w:szCs w:val="21"/>
          <w:highlight w:val="none"/>
        </w:rPr>
        <w:t>22.2</w:t>
      </w:r>
      <w:r>
        <w:rPr>
          <w:rFonts w:hint="eastAsia" w:ascii="宋体" w:hAnsi="宋体"/>
          <w:color w:val="auto"/>
          <w:szCs w:val="21"/>
          <w:highlight w:val="none"/>
        </w:rPr>
        <w:t>.2对采购过程提出质疑的，为各采购程序环节结束之日；</w:t>
      </w:r>
    </w:p>
    <w:p w14:paraId="15FF4919">
      <w:pPr>
        <w:spacing w:line="480" w:lineRule="exact"/>
        <w:ind w:firstLine="420"/>
        <w:rPr>
          <w:rFonts w:ascii="宋体" w:hAnsi="宋体"/>
          <w:color w:val="auto"/>
          <w:szCs w:val="21"/>
          <w:highlight w:val="none"/>
        </w:rPr>
      </w:pPr>
      <w:r>
        <w:rPr>
          <w:rFonts w:ascii="宋体" w:hAnsi="宋体"/>
          <w:color w:val="auto"/>
          <w:szCs w:val="21"/>
          <w:highlight w:val="none"/>
        </w:rPr>
        <w:t>22.2</w:t>
      </w:r>
      <w:r>
        <w:rPr>
          <w:rFonts w:hint="eastAsia" w:ascii="宋体" w:hAnsi="宋体"/>
          <w:color w:val="auto"/>
          <w:szCs w:val="21"/>
          <w:highlight w:val="none"/>
        </w:rPr>
        <w:t>.3对中标结果提出质疑的，为中标结果公告期限届满之日。</w:t>
      </w:r>
    </w:p>
    <w:p w14:paraId="41D648C8">
      <w:pPr>
        <w:spacing w:line="480" w:lineRule="exact"/>
        <w:ind w:firstLine="420"/>
        <w:rPr>
          <w:rFonts w:ascii="宋体" w:hAnsi="宋体"/>
          <w:color w:val="auto"/>
          <w:szCs w:val="21"/>
          <w:highlight w:val="none"/>
        </w:rPr>
      </w:pPr>
      <w:r>
        <w:rPr>
          <w:rFonts w:hint="eastAsia" w:ascii="宋体" w:hAnsi="宋体"/>
          <w:color w:val="auto"/>
          <w:szCs w:val="21"/>
          <w:highlight w:val="none"/>
        </w:rPr>
        <w:t>22.3 质疑函应包括以下主要内容，并按照“谁主张、谁举证”的原则，附上必要的证明材料（证明材料中如涉及到产品功能或技术指标的，应出具相关制造商的证明文件），否则，代理公司或采购人不予受理。质疑函应当包括下列内容：</w:t>
      </w:r>
    </w:p>
    <w:p w14:paraId="3CFBF09F">
      <w:pPr>
        <w:spacing w:line="480" w:lineRule="exact"/>
        <w:ind w:firstLine="420"/>
        <w:rPr>
          <w:rFonts w:ascii="宋体" w:hAnsi="宋体"/>
          <w:color w:val="auto"/>
          <w:szCs w:val="21"/>
          <w:highlight w:val="none"/>
        </w:rPr>
      </w:pPr>
      <w:r>
        <w:rPr>
          <w:rFonts w:hint="eastAsia" w:ascii="宋体" w:hAnsi="宋体"/>
          <w:color w:val="auto"/>
          <w:szCs w:val="21"/>
          <w:highlight w:val="none"/>
        </w:rPr>
        <w:t>（1）供应商的姓名或者名称、地址、邮编、联系人及联系电话；</w:t>
      </w:r>
    </w:p>
    <w:p w14:paraId="166694C0">
      <w:pPr>
        <w:spacing w:line="480" w:lineRule="exact"/>
        <w:ind w:firstLine="420"/>
        <w:rPr>
          <w:rFonts w:ascii="宋体" w:hAnsi="宋体"/>
          <w:color w:val="auto"/>
          <w:szCs w:val="21"/>
          <w:highlight w:val="none"/>
        </w:rPr>
      </w:pPr>
      <w:r>
        <w:rPr>
          <w:rFonts w:hint="eastAsia" w:ascii="宋体" w:hAnsi="宋体"/>
          <w:color w:val="auto"/>
          <w:szCs w:val="21"/>
          <w:highlight w:val="none"/>
        </w:rPr>
        <w:t>（2）质疑项目的名称、编号；</w:t>
      </w:r>
    </w:p>
    <w:p w14:paraId="3D459B1A">
      <w:pPr>
        <w:spacing w:line="480" w:lineRule="exact"/>
        <w:ind w:firstLine="420"/>
        <w:rPr>
          <w:rFonts w:ascii="宋体" w:hAnsi="宋体"/>
          <w:color w:val="auto"/>
          <w:szCs w:val="21"/>
          <w:highlight w:val="none"/>
        </w:rPr>
      </w:pPr>
      <w:r>
        <w:rPr>
          <w:rFonts w:hint="eastAsia" w:ascii="宋体" w:hAnsi="宋体"/>
          <w:color w:val="auto"/>
          <w:szCs w:val="21"/>
          <w:highlight w:val="none"/>
        </w:rPr>
        <w:t>（3）具体、明确的质疑事项和与质疑事项相关的请求；</w:t>
      </w:r>
    </w:p>
    <w:p w14:paraId="58733346">
      <w:pPr>
        <w:spacing w:line="480" w:lineRule="exact"/>
        <w:ind w:firstLine="420"/>
        <w:rPr>
          <w:rFonts w:ascii="宋体" w:hAnsi="宋体"/>
          <w:color w:val="auto"/>
          <w:szCs w:val="21"/>
          <w:highlight w:val="none"/>
        </w:rPr>
      </w:pPr>
      <w:r>
        <w:rPr>
          <w:rFonts w:hint="eastAsia" w:ascii="宋体" w:hAnsi="宋体"/>
          <w:color w:val="auto"/>
          <w:szCs w:val="21"/>
          <w:highlight w:val="none"/>
        </w:rPr>
        <w:t>（4）事实依据；</w:t>
      </w:r>
    </w:p>
    <w:p w14:paraId="7981BCE1">
      <w:pPr>
        <w:spacing w:line="480" w:lineRule="exact"/>
        <w:ind w:firstLine="420"/>
        <w:rPr>
          <w:rFonts w:ascii="宋体" w:hAnsi="宋体"/>
          <w:color w:val="auto"/>
          <w:szCs w:val="21"/>
          <w:highlight w:val="none"/>
        </w:rPr>
      </w:pPr>
      <w:r>
        <w:rPr>
          <w:rFonts w:hint="eastAsia" w:ascii="宋体" w:hAnsi="宋体"/>
          <w:color w:val="auto"/>
          <w:szCs w:val="21"/>
          <w:highlight w:val="none"/>
        </w:rPr>
        <w:t>（5）必要的法律依据；</w:t>
      </w:r>
    </w:p>
    <w:p w14:paraId="57A4D9AC">
      <w:pPr>
        <w:spacing w:line="480" w:lineRule="exact"/>
        <w:ind w:firstLine="420"/>
        <w:rPr>
          <w:rFonts w:ascii="宋体" w:hAnsi="宋体"/>
          <w:color w:val="auto"/>
          <w:szCs w:val="21"/>
          <w:highlight w:val="none"/>
        </w:rPr>
      </w:pPr>
      <w:r>
        <w:rPr>
          <w:rFonts w:hint="eastAsia" w:ascii="宋体" w:hAnsi="宋体"/>
          <w:color w:val="auto"/>
          <w:szCs w:val="21"/>
          <w:highlight w:val="none"/>
        </w:rPr>
        <w:t>（6）提出质疑的日期。</w:t>
      </w:r>
    </w:p>
    <w:p w14:paraId="0C688372">
      <w:pPr>
        <w:spacing w:line="480" w:lineRule="exact"/>
        <w:ind w:firstLine="420"/>
        <w:rPr>
          <w:rFonts w:ascii="宋体" w:hAnsi="宋体"/>
          <w:color w:val="auto"/>
          <w:szCs w:val="21"/>
          <w:highlight w:val="none"/>
        </w:rPr>
      </w:pPr>
      <w:r>
        <w:rPr>
          <w:rFonts w:hint="eastAsia" w:ascii="宋体" w:hAnsi="宋体"/>
          <w:color w:val="auto"/>
          <w:szCs w:val="21"/>
          <w:highlight w:val="none"/>
        </w:rPr>
        <w:t>22.4 采购人或代理机构在收到供应商的书面质疑后将及时组织调查核实，在七个工作日内作出答复，并以书面形式通知质疑供应商，答复的内容不涉及商业秘密。</w:t>
      </w:r>
    </w:p>
    <w:p w14:paraId="5FE0E9B6">
      <w:pPr>
        <w:spacing w:line="480" w:lineRule="exact"/>
        <w:ind w:firstLine="420"/>
        <w:rPr>
          <w:rFonts w:ascii="宋体" w:hAnsi="宋体"/>
          <w:color w:val="auto"/>
          <w:szCs w:val="21"/>
          <w:highlight w:val="none"/>
        </w:rPr>
      </w:pPr>
      <w:r>
        <w:rPr>
          <w:rFonts w:hint="eastAsia" w:ascii="宋体" w:hAnsi="宋体"/>
          <w:color w:val="auto"/>
          <w:szCs w:val="21"/>
          <w:highlight w:val="none"/>
        </w:rPr>
        <w:t>22.5 投标人认为招标文件内容违法或不当的，应当在招标文件规定的截止时间前提出异议；认为开标活动违法的，应当在开标现场提出异议；对采购单位（采购代理机构）答复不满意或采购单位（采购代理机构）在规定时间内未予答复的，投标人可向盐城市大丰区财政局投诉。</w:t>
      </w:r>
    </w:p>
    <w:p w14:paraId="3B30736D">
      <w:pPr>
        <w:spacing w:line="480" w:lineRule="exact"/>
        <w:ind w:firstLine="420"/>
        <w:rPr>
          <w:rFonts w:ascii="宋体" w:hAnsi="宋体"/>
          <w:color w:val="auto"/>
          <w:szCs w:val="21"/>
          <w:highlight w:val="none"/>
        </w:rPr>
      </w:pPr>
      <w:r>
        <w:rPr>
          <w:rFonts w:hint="eastAsia" w:ascii="宋体" w:hAnsi="宋体"/>
          <w:color w:val="auto"/>
          <w:szCs w:val="21"/>
          <w:highlight w:val="none"/>
        </w:rPr>
        <w:t>22.6 质疑或投诉程序：</w:t>
      </w:r>
    </w:p>
    <w:p w14:paraId="4FFA03C4">
      <w:pPr>
        <w:spacing w:line="480" w:lineRule="exact"/>
        <w:ind w:firstLine="420"/>
        <w:rPr>
          <w:rFonts w:ascii="宋体" w:hAnsi="宋体"/>
          <w:color w:val="auto"/>
          <w:szCs w:val="21"/>
          <w:highlight w:val="none"/>
        </w:rPr>
      </w:pPr>
      <w:r>
        <w:rPr>
          <w:rFonts w:hint="eastAsia" w:ascii="宋体" w:hAnsi="宋体"/>
          <w:color w:val="auto"/>
          <w:szCs w:val="21"/>
          <w:highlight w:val="none"/>
        </w:rPr>
        <w:t>投标人认为本次招标文件、招标过程和中标、中标结果违反法律、法规和规章规定的，应当首先依法向采购单位或采购代理机构提出质疑，对采购单位或采购代理机构质疑答复不满意的可到盐城市大丰区财政局提出投诉。</w:t>
      </w:r>
    </w:p>
    <w:p w14:paraId="37038EBC">
      <w:pPr>
        <w:spacing w:line="480" w:lineRule="exact"/>
        <w:ind w:firstLine="420"/>
        <w:rPr>
          <w:rFonts w:ascii="宋体" w:hAnsi="宋体"/>
          <w:color w:val="auto"/>
          <w:szCs w:val="21"/>
          <w:highlight w:val="none"/>
        </w:rPr>
      </w:pPr>
      <w:r>
        <w:rPr>
          <w:rFonts w:hint="eastAsia" w:ascii="宋体" w:hAnsi="宋体"/>
          <w:color w:val="auto"/>
          <w:szCs w:val="21"/>
          <w:highlight w:val="none"/>
        </w:rPr>
        <w:t>投标人或者其他利害关系人不按规定投诉或通过捏造事实、伪造证明材料等方式提出异议或投诉，影响招投标活动正常进行的，招投标行政监督部门不予受理，并给予警告。</w:t>
      </w:r>
    </w:p>
    <w:p w14:paraId="7C32DD5B">
      <w:pPr>
        <w:spacing w:line="480" w:lineRule="exact"/>
        <w:ind w:firstLine="420"/>
        <w:rPr>
          <w:rFonts w:ascii="宋体" w:hAnsi="宋体"/>
          <w:color w:val="auto"/>
          <w:szCs w:val="21"/>
          <w:highlight w:val="none"/>
        </w:rPr>
      </w:pPr>
      <w:r>
        <w:rPr>
          <w:rFonts w:hint="eastAsia" w:ascii="宋体" w:hAnsi="宋体"/>
          <w:color w:val="auto"/>
          <w:szCs w:val="21"/>
          <w:highlight w:val="none"/>
        </w:rPr>
        <w:t>22.7 恶意投诉情形：</w:t>
      </w:r>
      <w:r>
        <w:rPr>
          <w:rFonts w:hint="eastAsia" w:ascii="宋体" w:hAnsi="宋体"/>
          <w:color w:val="auto"/>
          <w:szCs w:val="21"/>
          <w:highlight w:val="none"/>
        </w:rPr>
        <w:tab/>
      </w:r>
    </w:p>
    <w:p w14:paraId="088A0FEC">
      <w:pPr>
        <w:spacing w:line="480" w:lineRule="exact"/>
        <w:ind w:firstLine="420"/>
        <w:rPr>
          <w:rFonts w:ascii="宋体" w:hAnsi="宋体"/>
          <w:color w:val="auto"/>
          <w:szCs w:val="21"/>
          <w:highlight w:val="none"/>
        </w:rPr>
      </w:pPr>
      <w:r>
        <w:rPr>
          <w:rFonts w:hint="eastAsia" w:ascii="宋体" w:hAnsi="宋体"/>
          <w:color w:val="auto"/>
          <w:szCs w:val="21"/>
          <w:highlight w:val="none"/>
        </w:rPr>
        <w:t>下列情况之一，投标人的投诉将被界定为恶意投诉，监管机构将对投诉人按有关规定列入不良记录名单并上网公示，投标人今后参与政府项目将受到影响：</w:t>
      </w:r>
    </w:p>
    <w:p w14:paraId="74AC0495">
      <w:pPr>
        <w:spacing w:line="480" w:lineRule="exact"/>
        <w:ind w:firstLine="420"/>
        <w:rPr>
          <w:rFonts w:ascii="宋体" w:hAnsi="宋体"/>
          <w:color w:val="auto"/>
          <w:szCs w:val="21"/>
          <w:highlight w:val="none"/>
        </w:rPr>
      </w:pPr>
      <w:r>
        <w:rPr>
          <w:rFonts w:hint="eastAsia" w:ascii="宋体" w:hAnsi="宋体"/>
          <w:color w:val="auto"/>
          <w:szCs w:val="21"/>
          <w:highlight w:val="none"/>
        </w:rPr>
        <w:t>（1）未按规定向投诉处理部门投诉或向不同部门多方投诉的；</w:t>
      </w:r>
    </w:p>
    <w:p w14:paraId="1201FBFD">
      <w:pPr>
        <w:spacing w:line="480" w:lineRule="exact"/>
        <w:ind w:firstLine="420"/>
        <w:rPr>
          <w:rFonts w:ascii="宋体" w:hAnsi="宋体"/>
          <w:color w:val="auto"/>
          <w:szCs w:val="21"/>
          <w:highlight w:val="none"/>
        </w:rPr>
      </w:pPr>
      <w:r>
        <w:rPr>
          <w:rFonts w:hint="eastAsia" w:ascii="宋体" w:hAnsi="宋体"/>
          <w:color w:val="auto"/>
          <w:szCs w:val="21"/>
          <w:highlight w:val="none"/>
        </w:rPr>
        <w:t>（2）不符合投诉受理条件，被告知后仍进行投诉的；</w:t>
      </w:r>
    </w:p>
    <w:p w14:paraId="5653AA97">
      <w:pPr>
        <w:spacing w:line="480" w:lineRule="exact"/>
        <w:ind w:firstLine="420"/>
        <w:rPr>
          <w:rFonts w:ascii="宋体" w:hAnsi="宋体"/>
          <w:color w:val="auto"/>
          <w:szCs w:val="21"/>
          <w:highlight w:val="none"/>
        </w:rPr>
      </w:pPr>
      <w:r>
        <w:rPr>
          <w:rFonts w:hint="eastAsia" w:ascii="宋体" w:hAnsi="宋体"/>
          <w:color w:val="auto"/>
          <w:szCs w:val="21"/>
          <w:highlight w:val="none"/>
        </w:rPr>
        <w:t>（3）投诉处理部门受理投诉后，投诉人仍就同一内容向其他部门进行投诉的；</w:t>
      </w:r>
    </w:p>
    <w:p w14:paraId="1D295DBB">
      <w:pPr>
        <w:spacing w:line="480" w:lineRule="exact"/>
        <w:ind w:firstLine="420"/>
        <w:rPr>
          <w:rFonts w:ascii="宋体" w:hAnsi="宋体"/>
          <w:color w:val="auto"/>
          <w:szCs w:val="21"/>
          <w:highlight w:val="none"/>
        </w:rPr>
      </w:pPr>
      <w:r>
        <w:rPr>
          <w:rFonts w:hint="eastAsia" w:ascii="宋体" w:hAnsi="宋体"/>
          <w:color w:val="auto"/>
          <w:szCs w:val="21"/>
          <w:highlight w:val="none"/>
        </w:rPr>
        <w:t>（4）捏造事实、伪造材料进行投诉或在网络等媒体上进行失实报道的；</w:t>
      </w:r>
    </w:p>
    <w:p w14:paraId="46F53CEC">
      <w:pPr>
        <w:spacing w:line="480" w:lineRule="exact"/>
        <w:ind w:firstLine="420"/>
        <w:rPr>
          <w:rFonts w:ascii="宋体" w:hAnsi="宋体"/>
          <w:color w:val="auto"/>
          <w:szCs w:val="21"/>
          <w:highlight w:val="none"/>
        </w:rPr>
      </w:pPr>
      <w:r>
        <w:rPr>
          <w:rFonts w:hint="eastAsia" w:ascii="宋体" w:hAnsi="宋体"/>
          <w:color w:val="auto"/>
          <w:szCs w:val="21"/>
          <w:highlight w:val="none"/>
        </w:rPr>
        <w:t>（5）投诉经查失实，被告知后，仍然恶意缠诉的；</w:t>
      </w:r>
    </w:p>
    <w:p w14:paraId="565E704C">
      <w:pPr>
        <w:spacing w:line="480" w:lineRule="exact"/>
        <w:ind w:firstLine="420"/>
        <w:rPr>
          <w:rFonts w:ascii="宋体" w:hAnsi="宋体"/>
          <w:color w:val="auto"/>
          <w:szCs w:val="21"/>
          <w:highlight w:val="none"/>
        </w:rPr>
      </w:pPr>
      <w:r>
        <w:rPr>
          <w:rFonts w:hint="eastAsia" w:ascii="宋体" w:hAnsi="宋体"/>
          <w:color w:val="auto"/>
          <w:szCs w:val="21"/>
          <w:highlight w:val="none"/>
        </w:rPr>
        <w:t>（6）一年内三次以上失实投诉的；</w:t>
      </w:r>
    </w:p>
    <w:p w14:paraId="34C4BED3">
      <w:pPr>
        <w:spacing w:line="480" w:lineRule="exact"/>
        <w:ind w:firstLine="420"/>
        <w:rPr>
          <w:rFonts w:ascii="宋体" w:hAnsi="宋体"/>
          <w:color w:val="auto"/>
          <w:szCs w:val="21"/>
          <w:highlight w:val="none"/>
        </w:rPr>
      </w:pPr>
      <w:r>
        <w:rPr>
          <w:rFonts w:hint="eastAsia" w:ascii="宋体" w:hAnsi="宋体"/>
          <w:color w:val="auto"/>
          <w:szCs w:val="21"/>
          <w:highlight w:val="none"/>
        </w:rPr>
        <w:t>（7）直接向领导、纪委、检察部门写匿名信等。</w:t>
      </w:r>
    </w:p>
    <w:p w14:paraId="7102E13E">
      <w:pPr>
        <w:spacing w:line="480" w:lineRule="exact"/>
        <w:ind w:firstLine="420"/>
        <w:rPr>
          <w:rFonts w:ascii="宋体" w:hAnsi="宋体"/>
          <w:color w:val="auto"/>
          <w:szCs w:val="21"/>
          <w:highlight w:val="none"/>
        </w:rPr>
      </w:pPr>
      <w:r>
        <w:rPr>
          <w:rFonts w:hint="eastAsia" w:ascii="宋体" w:hAnsi="宋体"/>
          <w:color w:val="auto"/>
          <w:szCs w:val="21"/>
          <w:highlight w:val="none"/>
        </w:rPr>
        <w:t>23. 其他</w:t>
      </w:r>
    </w:p>
    <w:p w14:paraId="521BFD07">
      <w:pPr>
        <w:spacing w:line="480" w:lineRule="exact"/>
        <w:ind w:firstLine="420"/>
        <w:rPr>
          <w:rFonts w:ascii="宋体" w:hAnsi="宋体"/>
          <w:color w:val="auto"/>
          <w:szCs w:val="21"/>
          <w:highlight w:val="none"/>
        </w:rPr>
      </w:pPr>
      <w:r>
        <w:rPr>
          <w:rFonts w:hint="eastAsia" w:ascii="宋体" w:hAnsi="宋体"/>
          <w:color w:val="auto"/>
          <w:szCs w:val="21"/>
          <w:highlight w:val="none"/>
        </w:rPr>
        <w:t>投标人有下列行为之一造成招标人重新招标的，招标人重新招标时可以拒绝其参加投标：</w:t>
      </w:r>
    </w:p>
    <w:p w14:paraId="45460008">
      <w:pPr>
        <w:spacing w:line="480" w:lineRule="exact"/>
        <w:ind w:firstLine="420"/>
        <w:rPr>
          <w:rFonts w:ascii="宋体" w:hAnsi="宋体"/>
          <w:color w:val="auto"/>
          <w:szCs w:val="21"/>
          <w:highlight w:val="none"/>
        </w:rPr>
      </w:pPr>
      <w:r>
        <w:rPr>
          <w:rFonts w:hint="eastAsia" w:ascii="宋体" w:hAnsi="宋体"/>
          <w:color w:val="auto"/>
          <w:szCs w:val="21"/>
          <w:highlight w:val="none"/>
        </w:rPr>
        <w:t>（1）无故放弃中标；</w:t>
      </w:r>
    </w:p>
    <w:p w14:paraId="42EC3279">
      <w:pPr>
        <w:spacing w:line="480" w:lineRule="exact"/>
        <w:ind w:firstLine="420"/>
        <w:rPr>
          <w:rFonts w:ascii="宋体" w:hAnsi="宋体"/>
          <w:color w:val="auto"/>
          <w:szCs w:val="21"/>
          <w:highlight w:val="none"/>
        </w:rPr>
      </w:pPr>
      <w:r>
        <w:rPr>
          <w:rFonts w:hint="eastAsia" w:ascii="宋体" w:hAnsi="宋体"/>
          <w:color w:val="auto"/>
          <w:szCs w:val="21"/>
          <w:highlight w:val="none"/>
        </w:rPr>
        <w:t>（2）串通投标；</w:t>
      </w:r>
    </w:p>
    <w:p w14:paraId="5BE2CED1">
      <w:pPr>
        <w:spacing w:line="480" w:lineRule="exact"/>
        <w:ind w:firstLine="420"/>
        <w:rPr>
          <w:rFonts w:ascii="宋体" w:hAnsi="宋体"/>
          <w:color w:val="auto"/>
          <w:szCs w:val="21"/>
          <w:highlight w:val="none"/>
        </w:rPr>
      </w:pPr>
      <w:r>
        <w:rPr>
          <w:rFonts w:hint="eastAsia" w:ascii="宋体" w:hAnsi="宋体"/>
          <w:color w:val="auto"/>
          <w:szCs w:val="21"/>
          <w:highlight w:val="none"/>
        </w:rPr>
        <w:t>（3）存在弄虚作假行为；</w:t>
      </w:r>
    </w:p>
    <w:p w14:paraId="6EE73F19">
      <w:pPr>
        <w:spacing w:line="480" w:lineRule="exact"/>
        <w:ind w:firstLine="420"/>
        <w:rPr>
          <w:rFonts w:ascii="宋体" w:hAnsi="宋体"/>
          <w:color w:val="auto"/>
          <w:szCs w:val="21"/>
          <w:highlight w:val="none"/>
        </w:rPr>
      </w:pPr>
      <w:r>
        <w:rPr>
          <w:rFonts w:hint="eastAsia" w:ascii="宋体" w:hAnsi="宋体"/>
          <w:color w:val="auto"/>
          <w:szCs w:val="21"/>
          <w:highlight w:val="none"/>
        </w:rPr>
        <w:t>（4）以可能影响履约的异常低价参加投标；</w:t>
      </w:r>
    </w:p>
    <w:p w14:paraId="2104204B">
      <w:pPr>
        <w:spacing w:line="480" w:lineRule="exact"/>
        <w:ind w:firstLine="420"/>
        <w:rPr>
          <w:rFonts w:ascii="宋体" w:hAnsi="宋体"/>
          <w:color w:val="auto"/>
          <w:szCs w:val="21"/>
          <w:highlight w:val="none"/>
        </w:rPr>
      </w:pPr>
      <w:r>
        <w:rPr>
          <w:rFonts w:hint="eastAsia" w:ascii="宋体" w:hAnsi="宋体"/>
          <w:color w:val="auto"/>
          <w:szCs w:val="21"/>
          <w:highlight w:val="none"/>
        </w:rPr>
        <w:t>（5）其他违反法律、法规的行为。</w:t>
      </w:r>
    </w:p>
    <w:p w14:paraId="3F829E1B">
      <w:pPr>
        <w:spacing w:line="480" w:lineRule="exact"/>
        <w:ind w:firstLine="420"/>
        <w:rPr>
          <w:rFonts w:ascii="宋体" w:hAnsi="宋体"/>
          <w:color w:val="auto"/>
          <w:szCs w:val="21"/>
          <w:highlight w:val="none"/>
        </w:rPr>
      </w:pPr>
      <w:r>
        <w:rPr>
          <w:rFonts w:hint="eastAsia" w:ascii="宋体" w:hAnsi="宋体"/>
          <w:color w:val="auto"/>
          <w:szCs w:val="21"/>
          <w:highlight w:val="none"/>
        </w:rPr>
        <w:t>对三年内在与招标人合同履行过程中被依法判定存在违约行为导致招标人重大损失或者被列入严重失信主体名单的法人、非法人组织或者自然人，招标人可以拒绝其参加投标。</w:t>
      </w:r>
    </w:p>
    <w:p w14:paraId="2F547B74">
      <w:pPr>
        <w:spacing w:line="480" w:lineRule="exact"/>
        <w:ind w:firstLine="420"/>
        <w:rPr>
          <w:rFonts w:ascii="宋体" w:hAnsi="宋体"/>
          <w:color w:val="auto"/>
          <w:szCs w:val="21"/>
          <w:highlight w:val="none"/>
        </w:rPr>
      </w:pPr>
      <w:r>
        <w:rPr>
          <w:rFonts w:hint="eastAsia" w:ascii="宋体" w:hAnsi="宋体"/>
          <w:color w:val="auto"/>
          <w:szCs w:val="21"/>
          <w:highlight w:val="none"/>
        </w:rPr>
        <w:t>24. 电子招标投标交易平台</w:t>
      </w:r>
    </w:p>
    <w:p w14:paraId="42889D6F">
      <w:pPr>
        <w:spacing w:line="480" w:lineRule="exact"/>
        <w:ind w:firstLine="420"/>
        <w:rPr>
          <w:rFonts w:ascii="宋体" w:hAnsi="宋体"/>
          <w:color w:val="auto"/>
          <w:szCs w:val="21"/>
          <w:highlight w:val="none"/>
        </w:rPr>
      </w:pPr>
      <w:r>
        <w:rPr>
          <w:rFonts w:hint="eastAsia" w:ascii="宋体" w:hAnsi="宋体"/>
          <w:color w:val="auto"/>
          <w:szCs w:val="21"/>
          <w:highlight w:val="none"/>
        </w:rPr>
        <w:t>电子招标投标交易平台（即“苏采云”系统，网址：http://jszfcg.jsczt.cn/）相关要求是本招标文件的组成部分。</w:t>
      </w:r>
    </w:p>
    <w:p w14:paraId="226109EB">
      <w:pPr>
        <w:spacing w:line="480" w:lineRule="exact"/>
        <w:ind w:firstLine="420"/>
        <w:rPr>
          <w:rFonts w:ascii="宋体" w:hAnsi="宋体"/>
          <w:color w:val="auto"/>
          <w:szCs w:val="21"/>
          <w:highlight w:val="none"/>
        </w:rPr>
      </w:pPr>
      <w:r>
        <w:rPr>
          <w:rFonts w:hint="eastAsia" w:ascii="宋体" w:hAnsi="宋体"/>
          <w:color w:val="auto"/>
          <w:szCs w:val="21"/>
          <w:highlight w:val="none"/>
        </w:rPr>
        <w:t>25. 政府采购履约资金扶持政策</w:t>
      </w:r>
    </w:p>
    <w:p w14:paraId="36F2A5D5">
      <w:pPr>
        <w:spacing w:line="480" w:lineRule="exact"/>
        <w:ind w:firstLine="420"/>
        <w:rPr>
          <w:rFonts w:ascii="宋体" w:hAnsi="宋体"/>
          <w:color w:val="auto"/>
          <w:szCs w:val="21"/>
          <w:highlight w:val="none"/>
        </w:rPr>
      </w:pPr>
      <w:r>
        <w:rPr>
          <w:rFonts w:hint="eastAsia" w:ascii="宋体" w:hAnsi="宋体"/>
          <w:color w:val="auto"/>
          <w:szCs w:val="21"/>
          <w:highlight w:val="none"/>
        </w:rPr>
        <w:t>根据《关于深入推进政府采购线上合同信用融资工作的通知》（苏财购[2021]82号）,支持中小企业融资。政府采购中标、中标供应商应当及时向采购人提出“政采贷”融资申请书面材料。采购人、代理机构应当配合金融机构和中标、中标供应商，依法按时在“苏采云”系统中录入并公开政府采购合同信息时，勾选“融资贷款”选项“是”，积极支持中标、中标供应商降低参与政府采购的融资成本。</w:t>
      </w:r>
    </w:p>
    <w:p w14:paraId="5B27602D">
      <w:pPr>
        <w:wordWrap w:val="0"/>
        <w:overflowPunct w:val="0"/>
        <w:autoSpaceDE w:val="0"/>
        <w:autoSpaceDN w:val="0"/>
        <w:spacing w:line="480" w:lineRule="exact"/>
        <w:ind w:firstLine="420"/>
        <w:jc w:val="left"/>
        <w:rPr>
          <w:rFonts w:ascii="宋体" w:hAnsi="宋体"/>
          <w:color w:val="auto"/>
          <w:szCs w:val="21"/>
          <w:highlight w:val="none"/>
        </w:rPr>
      </w:pPr>
      <w:r>
        <w:rPr>
          <w:rFonts w:hint="eastAsia" w:ascii="宋体" w:hAnsi="宋体"/>
          <w:color w:val="auto"/>
          <w:szCs w:val="21"/>
          <w:highlight w:val="none"/>
        </w:rPr>
        <w:t>供应商可登录江苏政府采购网“资料下载”栏目（网址：www.ccgp-jiangsu.gov.cn/jiangsu/zlxz）下载“政府采购电子履约保函（保险）操作手册”</w:t>
      </w:r>
    </w:p>
    <w:p w14:paraId="5773EA97">
      <w:pPr>
        <w:spacing w:line="480" w:lineRule="exact"/>
        <w:ind w:firstLine="420"/>
        <w:rPr>
          <w:rFonts w:ascii="宋体" w:hAnsi="宋体"/>
          <w:color w:val="auto"/>
          <w:szCs w:val="21"/>
          <w:highlight w:val="none"/>
        </w:rPr>
      </w:pPr>
      <w:r>
        <w:rPr>
          <w:rFonts w:hint="eastAsia" w:ascii="宋体" w:hAnsi="宋体"/>
          <w:color w:val="auto"/>
          <w:szCs w:val="21"/>
          <w:highlight w:val="none"/>
        </w:rPr>
        <w:t>26、招标代理费</w:t>
      </w:r>
    </w:p>
    <w:p w14:paraId="7CC10A2D">
      <w:pPr>
        <w:spacing w:line="480" w:lineRule="exact"/>
        <w:ind w:firstLine="420"/>
        <w:rPr>
          <w:rFonts w:ascii="宋体" w:hAnsi="宋体"/>
          <w:color w:val="auto"/>
          <w:szCs w:val="21"/>
          <w:highlight w:val="none"/>
        </w:rPr>
      </w:pPr>
      <w:r>
        <w:rPr>
          <w:rFonts w:hint="eastAsia" w:ascii="宋体" w:hAnsi="宋体"/>
          <w:color w:val="auto"/>
          <w:szCs w:val="21"/>
          <w:highlight w:val="none"/>
        </w:rPr>
        <w:t>本项目招标代理费参照苏招协【2022】002号文件服务标准的40%收取。招标完成后，由中标供应商在领取中标通知书前一次性向代理机构支付，请各投标人投标报价时综合考虑到报价中，不得单列。</w:t>
      </w:r>
    </w:p>
    <w:p w14:paraId="6E6A85BB">
      <w:pPr>
        <w:pStyle w:val="186"/>
        <w:spacing w:before="0" w:after="0" w:line="600" w:lineRule="exact"/>
        <w:rPr>
          <w:color w:val="auto"/>
          <w:highlight w:val="none"/>
        </w:rPr>
      </w:pPr>
      <w:r>
        <w:rPr>
          <w:rFonts w:hint="eastAsia"/>
          <w:b w:val="0"/>
          <w:color w:val="auto"/>
          <w:highlight w:val="none"/>
        </w:rPr>
        <w:br w:type="page" w:clear="all"/>
      </w:r>
      <w:bookmarkStart w:id="37" w:name="_Toc498782285"/>
      <w:bookmarkStart w:id="38" w:name="_Toc397928599"/>
      <w:r>
        <w:rPr>
          <w:rFonts w:hint="eastAsia"/>
          <w:color w:val="auto"/>
          <w:highlight w:val="none"/>
        </w:rPr>
        <w:t>第三章 评标办法（综合评分法）</w:t>
      </w:r>
      <w:bookmarkEnd w:id="37"/>
      <w:bookmarkEnd w:id="38"/>
    </w:p>
    <w:p w14:paraId="4E23D574">
      <w:pPr>
        <w:spacing w:line="360" w:lineRule="auto"/>
        <w:ind w:firstLine="480"/>
        <w:jc w:val="left"/>
        <w:rPr>
          <w:rFonts w:ascii="Calibri" w:hAnsi="Calibri"/>
          <w:color w:val="auto"/>
          <w:sz w:val="24"/>
          <w:highlight w:val="none"/>
        </w:rPr>
      </w:pPr>
    </w:p>
    <w:p w14:paraId="08AD4818">
      <w:pPr>
        <w:pStyle w:val="187"/>
        <w:spacing w:before="0" w:after="0" w:line="480" w:lineRule="exact"/>
        <w:ind w:firstLine="422"/>
        <w:jc w:val="left"/>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开标时特别说明：</w:t>
      </w:r>
    </w:p>
    <w:p w14:paraId="16D638C3">
      <w:pPr>
        <w:pStyle w:val="187"/>
        <w:spacing w:before="0" w:after="0" w:line="480" w:lineRule="exact"/>
        <w:ind w:firstLine="422"/>
        <w:jc w:val="left"/>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本项目采用全程电子化及不见面开评标的模式，开标当日，投标人无需到达开标现场，仅需在任意地点通过“苏采云”系统（网址：http://jszfcg.jsczt.cn/）“开标大厅”及相应的配套软硬件设备，完成远程解密、文件传输、提疑澄清、开标唱标、结果公布等交互环节，具体内容和规定详见招标文件。</w:t>
      </w:r>
    </w:p>
    <w:p w14:paraId="584C40D8">
      <w:pPr>
        <w:spacing w:line="480" w:lineRule="exact"/>
        <w:ind w:firstLine="420"/>
        <w:rPr>
          <w:rFonts w:ascii="宋体" w:hAnsi="宋体" w:cs="宋体"/>
          <w:color w:val="auto"/>
          <w:szCs w:val="21"/>
          <w:highlight w:val="none"/>
        </w:rPr>
      </w:pPr>
      <w:r>
        <w:rPr>
          <w:rFonts w:hint="eastAsia" w:ascii="宋体" w:hAnsi="宋体"/>
          <w:color w:val="auto"/>
          <w:szCs w:val="21"/>
          <w:highlight w:val="none"/>
        </w:rPr>
        <w:t>本次评标采用综合评分法。评标委员会对满足招标文件实质性要求的投标文件，按照本招标文件规定的评分标准进行打分，并按得分由高到低顺序推荐1名中标候选人。综合评分相等时，以投标报价低的优先；投标报价也相等的，由招标人确定。最低报价及任何单项因素的最优均不是中标的必要条件。</w:t>
      </w:r>
    </w:p>
    <w:p w14:paraId="5F573955">
      <w:pPr>
        <w:spacing w:line="480" w:lineRule="exact"/>
        <w:ind w:firstLine="420"/>
        <w:rPr>
          <w:rFonts w:ascii="宋体" w:hAnsi="宋体" w:cs="宋体"/>
          <w:color w:val="auto"/>
          <w:szCs w:val="21"/>
          <w:highlight w:val="none"/>
        </w:rPr>
      </w:pPr>
      <w:r>
        <w:rPr>
          <w:rFonts w:hint="eastAsia" w:ascii="宋体" w:hAnsi="宋体" w:cs="宋体"/>
          <w:color w:val="auto"/>
          <w:szCs w:val="21"/>
          <w:highlight w:val="none"/>
        </w:rPr>
        <w:t>一、初步评审</w:t>
      </w:r>
    </w:p>
    <w:p w14:paraId="3F06711E">
      <w:pPr>
        <w:spacing w:line="480" w:lineRule="exact"/>
        <w:ind w:left="420"/>
        <w:rPr>
          <w:rFonts w:ascii="宋体" w:hAnsi="宋体" w:cs="宋体"/>
          <w:color w:val="auto"/>
          <w:szCs w:val="21"/>
          <w:highlight w:val="none"/>
        </w:rPr>
      </w:pPr>
      <w:r>
        <w:rPr>
          <w:rFonts w:hint="eastAsia" w:ascii="宋体" w:hAnsi="宋体" w:cs="宋体"/>
          <w:color w:val="auto"/>
          <w:szCs w:val="21"/>
          <w:highlight w:val="none"/>
        </w:rPr>
        <w:t>1、资格审查</w:t>
      </w:r>
    </w:p>
    <w:p w14:paraId="72AB27BD">
      <w:pPr>
        <w:spacing w:line="480" w:lineRule="exact"/>
        <w:ind w:firstLine="420"/>
        <w:rPr>
          <w:rFonts w:ascii="宋体" w:hAnsi="宋体"/>
          <w:color w:val="auto"/>
          <w:szCs w:val="21"/>
          <w:highlight w:val="none"/>
        </w:rPr>
      </w:pPr>
      <w:r>
        <w:rPr>
          <w:rFonts w:hint="eastAsia" w:ascii="宋体" w:hAnsi="宋体"/>
          <w:color w:val="auto"/>
          <w:szCs w:val="21"/>
          <w:highlight w:val="none"/>
        </w:rPr>
        <w:t>（1）法人或者其他组织的营业执照等证明文件</w:t>
      </w:r>
      <w:r>
        <w:rPr>
          <w:rFonts w:hint="eastAsia" w:ascii="宋体" w:hAnsi="宋体" w:cs="宋体"/>
          <w:iCs/>
          <w:color w:val="auto"/>
          <w:highlight w:val="none"/>
        </w:rPr>
        <w:t>，自然人的身份证明</w:t>
      </w:r>
      <w:r>
        <w:rPr>
          <w:rFonts w:hint="eastAsia" w:ascii="宋体" w:hAnsi="宋体"/>
          <w:color w:val="auto"/>
          <w:szCs w:val="21"/>
          <w:highlight w:val="none"/>
        </w:rPr>
        <w:t>；</w:t>
      </w:r>
    </w:p>
    <w:p w14:paraId="4DD0149E">
      <w:pPr>
        <w:spacing w:line="480" w:lineRule="exact"/>
        <w:ind w:firstLine="420"/>
        <w:rPr>
          <w:rFonts w:ascii="宋体" w:hAnsi="宋体"/>
          <w:color w:val="auto"/>
          <w:szCs w:val="21"/>
          <w:highlight w:val="none"/>
        </w:rPr>
      </w:pPr>
      <w:r>
        <w:rPr>
          <w:rFonts w:hint="eastAsia" w:ascii="宋体" w:hAnsi="宋体"/>
          <w:color w:val="auto"/>
          <w:szCs w:val="21"/>
          <w:highlight w:val="none"/>
        </w:rPr>
        <w:t>（2）上一年度的财务报表</w:t>
      </w:r>
      <w:r>
        <w:rPr>
          <w:rFonts w:hint="eastAsia" w:ascii="宋体" w:hAnsi="宋体" w:cs="宋体"/>
          <w:color w:val="auto"/>
          <w:szCs w:val="21"/>
          <w:highlight w:val="none"/>
          <w:shd w:val="clear" w:color="auto" w:fill="FFFFFF"/>
        </w:rPr>
        <w:t>（包括：利润表、资产负债表、现金流量表，成立不满一年不需提供）</w:t>
      </w:r>
      <w:r>
        <w:rPr>
          <w:rFonts w:hint="eastAsia" w:ascii="宋体" w:hAnsi="宋体"/>
          <w:color w:val="auto"/>
          <w:szCs w:val="21"/>
          <w:highlight w:val="none"/>
        </w:rPr>
        <w:t>；</w:t>
      </w:r>
    </w:p>
    <w:p w14:paraId="2AE8AEB3">
      <w:pPr>
        <w:spacing w:line="480" w:lineRule="exact"/>
        <w:ind w:firstLine="420"/>
        <w:rPr>
          <w:rFonts w:ascii="宋体" w:hAnsi="宋体"/>
          <w:color w:val="auto"/>
          <w:szCs w:val="21"/>
          <w:highlight w:val="none"/>
        </w:rPr>
      </w:pPr>
      <w:r>
        <w:rPr>
          <w:rFonts w:hint="eastAsia" w:ascii="宋体" w:hAnsi="宋体"/>
          <w:color w:val="auto"/>
          <w:szCs w:val="21"/>
          <w:highlight w:val="none"/>
        </w:rPr>
        <w:t>（3）依法缴纳税收和社会保障资金的相关材料（投标时提供投标截止时间前一年内至少一个月依法缴纳税收及缴纳社会保障资金的证明材料。供应商依法享受缓缴、免缴税收、社会保障资金的提供证明材料）；</w:t>
      </w:r>
    </w:p>
    <w:p w14:paraId="4A3F13B7">
      <w:pPr>
        <w:spacing w:line="480" w:lineRule="exact"/>
        <w:ind w:firstLine="420"/>
        <w:rPr>
          <w:rFonts w:ascii="宋体" w:hAnsi="宋体"/>
          <w:color w:val="auto"/>
          <w:szCs w:val="21"/>
          <w:highlight w:val="none"/>
        </w:rPr>
      </w:pPr>
      <w:r>
        <w:rPr>
          <w:rFonts w:hint="eastAsia" w:ascii="宋体" w:hAnsi="宋体"/>
          <w:color w:val="auto"/>
          <w:szCs w:val="21"/>
          <w:highlight w:val="none"/>
        </w:rPr>
        <w:t>（4）具备履行合同所必需的设备和专业技术能力的书面声明；</w:t>
      </w:r>
    </w:p>
    <w:p w14:paraId="389E9327">
      <w:pPr>
        <w:spacing w:line="480" w:lineRule="exact"/>
        <w:ind w:firstLine="420"/>
        <w:rPr>
          <w:rFonts w:ascii="宋体" w:hAnsi="宋体"/>
          <w:color w:val="auto"/>
          <w:szCs w:val="21"/>
          <w:highlight w:val="none"/>
        </w:rPr>
      </w:pPr>
      <w:r>
        <w:rPr>
          <w:rFonts w:hint="eastAsia" w:ascii="宋体" w:hAnsi="宋体"/>
          <w:color w:val="auto"/>
          <w:szCs w:val="21"/>
          <w:highlight w:val="none"/>
        </w:rPr>
        <w:t>（5）参加政府采购活动前3年内在经营活动中没有重大违法记录的书面声明。</w:t>
      </w:r>
    </w:p>
    <w:p w14:paraId="74E53D2D">
      <w:pPr>
        <w:widowControl/>
        <w:shd w:val="clear" w:color="auto" w:fill="FFFFFF"/>
        <w:spacing w:line="500" w:lineRule="exact"/>
        <w:ind w:firstLine="420"/>
        <w:jc w:val="left"/>
        <w:rPr>
          <w:rFonts w:ascii="宋体" w:hAnsi="宋体"/>
          <w:color w:val="auto"/>
          <w:szCs w:val="21"/>
          <w:highlight w:val="none"/>
        </w:rPr>
      </w:pPr>
      <w:r>
        <w:rPr>
          <w:rFonts w:hint="eastAsia" w:ascii="宋体" w:hAnsi="宋体"/>
          <w:color w:val="auto"/>
          <w:szCs w:val="21"/>
          <w:highlight w:val="none"/>
        </w:rPr>
        <w:t>（6）</w:t>
      </w:r>
      <w:r>
        <w:rPr>
          <w:rFonts w:hint="eastAsia" w:ascii="宋体" w:hAnsi="宋体" w:cs="宋体"/>
          <w:color w:val="auto"/>
          <w:szCs w:val="21"/>
          <w:highlight w:val="none"/>
          <w:shd w:val="clear" w:color="auto" w:fill="FFFFFF"/>
        </w:rPr>
        <w:t>投标人具有工程咨询单位甲级资信证书扫描件，并应通过全国投资项目在线审批监管平台备案截图（工程咨询备案专业至少有公路、水运，工程咨询服务范围包含规划咨询，备案信息已经由国家发改委通过在线平台向社会公布）</w:t>
      </w:r>
      <w:r>
        <w:rPr>
          <w:rFonts w:hint="eastAsia" w:ascii="宋体" w:hAnsi="宋体"/>
          <w:color w:val="auto"/>
          <w:szCs w:val="21"/>
          <w:highlight w:val="none"/>
        </w:rPr>
        <w:t>。</w:t>
      </w:r>
    </w:p>
    <w:p w14:paraId="50247489">
      <w:pPr>
        <w:widowControl/>
        <w:shd w:val="clear" w:color="auto" w:fill="FFFFFF"/>
        <w:spacing w:line="500" w:lineRule="exact"/>
        <w:ind w:firstLine="420"/>
        <w:jc w:val="left"/>
        <w:rPr>
          <w:rFonts w:ascii="宋体" w:hAnsi="宋体" w:cs="宋体"/>
          <w:color w:val="auto"/>
          <w:szCs w:val="21"/>
          <w:highlight w:val="none"/>
          <w:shd w:val="clear" w:color="auto" w:fill="FFFFFF"/>
        </w:rPr>
      </w:pPr>
      <w:r>
        <w:rPr>
          <w:rFonts w:hint="eastAsia" w:ascii="宋体" w:hAnsi="宋体" w:cs="宋体"/>
          <w:color w:val="auto"/>
          <w:szCs w:val="21"/>
          <w:highlight w:val="none"/>
          <w:shd w:val="clear" w:color="auto" w:fill="FFFFFF"/>
        </w:rPr>
        <w:t>（7）项目负责人具有高级工程师及以上职称证书扫描件。</w:t>
      </w:r>
    </w:p>
    <w:p w14:paraId="6CD3CC5A">
      <w:pPr>
        <w:spacing w:line="480" w:lineRule="exact"/>
        <w:ind w:firstLine="420"/>
        <w:rPr>
          <w:rFonts w:ascii="宋体" w:hAnsi="宋体" w:cs="宋体"/>
          <w:color w:val="auto"/>
          <w:szCs w:val="21"/>
          <w:highlight w:val="none"/>
        </w:rPr>
      </w:pPr>
      <w:r>
        <w:rPr>
          <w:rFonts w:hint="eastAsia" w:ascii="宋体" w:hAnsi="宋体" w:cs="宋体"/>
          <w:color w:val="auto"/>
          <w:szCs w:val="21"/>
          <w:highlight w:val="none"/>
        </w:rPr>
        <w:t>注：</w:t>
      </w:r>
      <w:r>
        <w:rPr>
          <w:rFonts w:ascii="宋体" w:hAnsi="宋体" w:cs="宋体"/>
          <w:color w:val="auto"/>
          <w:szCs w:val="21"/>
          <w:highlight w:val="none"/>
        </w:rPr>
        <w:t>a</w:t>
      </w:r>
      <w:r>
        <w:rPr>
          <w:rFonts w:hint="eastAsia" w:ascii="宋体" w:hAnsi="宋体" w:cs="宋体"/>
          <w:color w:val="auto"/>
          <w:szCs w:val="21"/>
          <w:highlight w:val="none"/>
        </w:rPr>
        <w:t>、因上述扫描件不清晰无法辨认、或提供的关键信息不全、更新不及时导致被招标人或评标委员会评委认定为无效投标的，其不利的后果由投标人自行承担。</w:t>
      </w:r>
    </w:p>
    <w:p w14:paraId="1B5AA841">
      <w:pPr>
        <w:spacing w:line="480" w:lineRule="exact"/>
        <w:ind w:firstLine="420"/>
        <w:rPr>
          <w:rFonts w:ascii="宋体" w:hAnsi="宋体" w:cs="宋体"/>
          <w:color w:val="auto"/>
          <w:szCs w:val="21"/>
          <w:highlight w:val="none"/>
        </w:rPr>
      </w:pPr>
      <w:r>
        <w:rPr>
          <w:rFonts w:ascii="宋体" w:hAnsi="宋体" w:cs="宋体"/>
          <w:color w:val="auto"/>
          <w:szCs w:val="21"/>
          <w:highlight w:val="none"/>
        </w:rPr>
        <w:t>b</w:t>
      </w:r>
      <w:r>
        <w:rPr>
          <w:rFonts w:hint="eastAsia" w:ascii="宋体" w:hAnsi="宋体" w:cs="宋体"/>
          <w:color w:val="auto"/>
          <w:szCs w:val="21"/>
          <w:highlight w:val="none"/>
        </w:rPr>
        <w:t>、若中标候选人上述有关证书有效性被质疑的，被质疑人出具发证机关证明或通过二维码或证书查询系统能够证明有效即可。</w:t>
      </w:r>
    </w:p>
    <w:p w14:paraId="40E01C35">
      <w:pPr>
        <w:spacing w:line="480" w:lineRule="exact"/>
        <w:ind w:firstLine="420"/>
        <w:rPr>
          <w:rFonts w:ascii="宋体" w:hAnsi="宋体" w:cs="宋体"/>
          <w:color w:val="auto"/>
          <w:szCs w:val="21"/>
          <w:highlight w:val="none"/>
        </w:rPr>
      </w:pPr>
      <w:r>
        <w:rPr>
          <w:rFonts w:ascii="宋体" w:hAnsi="宋体" w:cs="宋体"/>
          <w:color w:val="auto"/>
          <w:szCs w:val="21"/>
          <w:highlight w:val="none"/>
        </w:rPr>
        <w:t>c</w:t>
      </w:r>
      <w:r>
        <w:rPr>
          <w:rFonts w:hint="eastAsia" w:ascii="宋体" w:hAnsi="宋体" w:cs="宋体"/>
          <w:color w:val="auto"/>
          <w:szCs w:val="21"/>
          <w:highlight w:val="none"/>
        </w:rPr>
        <w:t>、招标人或评标委员会的审查或评审仅针对投标文件提交截止时间前投标人提交的投标文件（包含以链接形式提供的附件资料）进行审查或评审，投标人后续撤回、修改、补充、更新、作废诚信库信息，不影响按照投标文件提交截止时间前投标人提交的投标文件形成的审查或评审结果。投标人若需要更正投标资料信息，应在投标文件提交截止时间前撤回投标文件，重新勾选投标资料后上传。投标文件提交后，投标人不得对投标资料信息进行改动。</w:t>
      </w:r>
    </w:p>
    <w:p w14:paraId="65A9DAB5">
      <w:pPr>
        <w:spacing w:line="480" w:lineRule="exact"/>
        <w:ind w:firstLine="420"/>
        <w:rPr>
          <w:rFonts w:ascii="宋体" w:hAnsi="宋体" w:cs="宋体"/>
          <w:color w:val="auto"/>
          <w:szCs w:val="21"/>
          <w:highlight w:val="none"/>
        </w:rPr>
      </w:pPr>
      <w:r>
        <w:rPr>
          <w:rFonts w:hint="eastAsia" w:ascii="宋体" w:hAnsi="宋体" w:cs="宋体"/>
          <w:color w:val="auto"/>
          <w:szCs w:val="21"/>
          <w:highlight w:val="none"/>
        </w:rPr>
        <w:t>2、符合性评审：</w:t>
      </w:r>
    </w:p>
    <w:p w14:paraId="6D339E43">
      <w:pPr>
        <w:spacing w:line="480" w:lineRule="exact"/>
        <w:ind w:firstLine="420"/>
        <w:rPr>
          <w:rFonts w:ascii="宋体" w:hAnsi="宋体" w:cs="宋体"/>
          <w:color w:val="auto"/>
          <w:szCs w:val="21"/>
          <w:highlight w:val="none"/>
        </w:rPr>
      </w:pPr>
      <w:r>
        <w:rPr>
          <w:rFonts w:hint="eastAsia" w:ascii="宋体" w:hAnsi="宋体" w:cs="宋体"/>
          <w:color w:val="auto"/>
          <w:szCs w:val="21"/>
          <w:highlight w:val="none"/>
        </w:rPr>
        <w:t>投标人的投标文件符合招标文件、招标答疑的要求，主要包括：采购需求、合同履行期间、质量、投标报价、签章等符合招标文件的实质性要求等。不符合招标文件采购需求最低要求的一律作为无效标书，不得作为中标候选人。</w:t>
      </w:r>
    </w:p>
    <w:p w14:paraId="11D6DBBA">
      <w:pPr>
        <w:spacing w:line="480" w:lineRule="exact"/>
        <w:ind w:firstLine="420"/>
        <w:rPr>
          <w:rFonts w:ascii="宋体" w:hAnsi="宋体" w:cs="宋体"/>
          <w:color w:val="auto"/>
          <w:szCs w:val="21"/>
          <w:highlight w:val="none"/>
        </w:rPr>
      </w:pPr>
      <w:r>
        <w:rPr>
          <w:rFonts w:hint="eastAsia" w:ascii="宋体" w:hAnsi="宋体" w:cs="宋体"/>
          <w:color w:val="auto"/>
          <w:szCs w:val="21"/>
          <w:highlight w:val="none"/>
        </w:rPr>
        <w:t>二、详细评审</w:t>
      </w:r>
    </w:p>
    <w:p w14:paraId="51B5BE0D">
      <w:pPr>
        <w:pStyle w:val="188"/>
        <w:spacing w:before="0" w:after="0" w:line="480" w:lineRule="exact"/>
        <w:ind w:firstLine="422"/>
        <w:rPr>
          <w:rFonts w:ascii="宋体" w:hAnsi="宋体" w:eastAsia="宋体"/>
          <w:b/>
          <w:color w:val="auto"/>
          <w:sz w:val="21"/>
          <w:szCs w:val="21"/>
          <w:highlight w:val="none"/>
        </w:rPr>
      </w:pPr>
      <w:bookmarkStart w:id="39" w:name="_Toc498782289"/>
      <w:bookmarkStart w:id="40" w:name="_Toc397928604"/>
      <w:bookmarkStart w:id="41" w:name="_Toc32592"/>
      <w:bookmarkStart w:id="42" w:name="_Toc29388462"/>
      <w:r>
        <w:rPr>
          <w:rFonts w:ascii="宋体" w:hAnsi="宋体" w:eastAsia="宋体"/>
          <w:b/>
          <w:color w:val="auto"/>
          <w:sz w:val="21"/>
          <w:szCs w:val="21"/>
          <w:highlight w:val="none"/>
        </w:rPr>
        <w:t>2.1</w:t>
      </w:r>
      <w:r>
        <w:rPr>
          <w:rFonts w:hint="eastAsia" w:ascii="宋体" w:hAnsi="宋体" w:eastAsia="宋体"/>
          <w:b/>
          <w:color w:val="auto"/>
          <w:sz w:val="21"/>
          <w:szCs w:val="21"/>
          <w:highlight w:val="none"/>
        </w:rPr>
        <w:t>详细评审分值构成与评分标准</w:t>
      </w:r>
      <w:bookmarkEnd w:id="39"/>
    </w:p>
    <w:bookmarkEnd w:id="40"/>
    <w:bookmarkEnd w:id="41"/>
    <w:tbl>
      <w:tblPr>
        <w:tblStyle w:val="32"/>
        <w:tblW w:w="960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17"/>
        <w:gridCol w:w="1190"/>
        <w:gridCol w:w="531"/>
        <w:gridCol w:w="6964"/>
      </w:tblGrid>
      <w:tr w14:paraId="2DD679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6" w:hRule="atLeast"/>
          <w:jc w:val="center"/>
        </w:trPr>
        <w:tc>
          <w:tcPr>
            <w:tcW w:w="917" w:type="dxa"/>
            <w:noWrap/>
            <w:vAlign w:val="center"/>
          </w:tcPr>
          <w:p w14:paraId="349758A6">
            <w:pPr>
              <w:widowControl/>
              <w:spacing w:line="240" w:lineRule="auto"/>
              <w:jc w:val="center"/>
              <w:textAlignment w:val="center"/>
              <w:rPr>
                <w:rFonts w:ascii="宋体" w:hAnsi="宋体" w:cs="宋体"/>
                <w:b/>
                <w:bCs/>
                <w:color w:val="auto"/>
                <w:kern w:val="2"/>
                <w:szCs w:val="21"/>
                <w:highlight w:val="none"/>
              </w:rPr>
            </w:pPr>
            <w:r>
              <w:rPr>
                <w:rFonts w:hint="eastAsia" w:ascii="宋体" w:hAnsi="宋体" w:cs="宋体"/>
                <w:b/>
                <w:bCs/>
                <w:color w:val="auto"/>
                <w:sz w:val="20"/>
                <w:szCs w:val="20"/>
                <w:highlight w:val="none"/>
              </w:rPr>
              <w:t>类别</w:t>
            </w:r>
          </w:p>
        </w:tc>
        <w:tc>
          <w:tcPr>
            <w:tcW w:w="1190" w:type="dxa"/>
            <w:noWrap/>
            <w:vAlign w:val="center"/>
          </w:tcPr>
          <w:p w14:paraId="67168F37">
            <w:pPr>
              <w:widowControl/>
              <w:spacing w:line="240" w:lineRule="auto"/>
              <w:jc w:val="center"/>
              <w:textAlignment w:val="center"/>
              <w:rPr>
                <w:rFonts w:ascii="宋体" w:hAnsi="宋体" w:cs="宋体"/>
                <w:b/>
                <w:bCs/>
                <w:color w:val="auto"/>
                <w:kern w:val="2"/>
                <w:szCs w:val="21"/>
                <w:highlight w:val="none"/>
              </w:rPr>
            </w:pPr>
            <w:r>
              <w:rPr>
                <w:rFonts w:hint="eastAsia" w:ascii="宋体" w:hAnsi="宋体" w:cs="宋体"/>
                <w:b/>
                <w:bCs/>
                <w:color w:val="auto"/>
                <w:sz w:val="20"/>
                <w:szCs w:val="20"/>
                <w:highlight w:val="none"/>
              </w:rPr>
              <w:t>评分因素</w:t>
            </w:r>
          </w:p>
        </w:tc>
        <w:tc>
          <w:tcPr>
            <w:tcW w:w="531" w:type="dxa"/>
            <w:noWrap/>
            <w:vAlign w:val="center"/>
          </w:tcPr>
          <w:p w14:paraId="5542CF64">
            <w:pPr>
              <w:widowControl/>
              <w:spacing w:line="240" w:lineRule="auto"/>
              <w:jc w:val="center"/>
              <w:textAlignment w:val="center"/>
              <w:rPr>
                <w:rFonts w:ascii="宋体" w:hAnsi="宋体" w:cs="宋体"/>
                <w:b/>
                <w:bCs/>
                <w:color w:val="auto"/>
                <w:kern w:val="2"/>
                <w:szCs w:val="21"/>
                <w:highlight w:val="none"/>
              </w:rPr>
            </w:pPr>
            <w:r>
              <w:rPr>
                <w:rFonts w:hint="eastAsia" w:ascii="宋体" w:hAnsi="宋体" w:cs="宋体"/>
                <w:b/>
                <w:bCs/>
                <w:color w:val="auto"/>
                <w:sz w:val="20"/>
                <w:szCs w:val="20"/>
                <w:highlight w:val="none"/>
              </w:rPr>
              <w:t>分数</w:t>
            </w:r>
          </w:p>
        </w:tc>
        <w:tc>
          <w:tcPr>
            <w:tcW w:w="6964" w:type="dxa"/>
            <w:noWrap/>
            <w:vAlign w:val="center"/>
          </w:tcPr>
          <w:p w14:paraId="779F16AA">
            <w:pPr>
              <w:widowControl/>
              <w:spacing w:line="240" w:lineRule="auto"/>
              <w:jc w:val="center"/>
              <w:textAlignment w:val="center"/>
              <w:rPr>
                <w:rFonts w:ascii="宋体" w:hAnsi="宋体" w:cs="宋体"/>
                <w:b/>
                <w:bCs/>
                <w:color w:val="auto"/>
                <w:kern w:val="2"/>
                <w:szCs w:val="21"/>
                <w:highlight w:val="none"/>
              </w:rPr>
            </w:pPr>
            <w:r>
              <w:rPr>
                <w:rFonts w:hint="eastAsia" w:ascii="宋体" w:hAnsi="宋体" w:cs="宋体"/>
                <w:b/>
                <w:bCs/>
                <w:color w:val="auto"/>
                <w:sz w:val="20"/>
                <w:szCs w:val="20"/>
                <w:highlight w:val="none"/>
              </w:rPr>
              <w:t>评分标准</w:t>
            </w:r>
          </w:p>
        </w:tc>
      </w:tr>
      <w:tr w14:paraId="5CED1C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7" w:hRule="atLeast"/>
          <w:jc w:val="center"/>
        </w:trPr>
        <w:tc>
          <w:tcPr>
            <w:tcW w:w="917" w:type="dxa"/>
            <w:noWrap/>
            <w:vAlign w:val="center"/>
          </w:tcPr>
          <w:p w14:paraId="39E84F5E">
            <w:pPr>
              <w:spacing w:line="240" w:lineRule="auto"/>
              <w:jc w:val="center"/>
              <w:rPr>
                <w:rFonts w:ascii="宋体" w:hAnsi="宋体" w:cs="宋体"/>
                <w:color w:val="auto"/>
                <w:kern w:val="2"/>
                <w:szCs w:val="21"/>
                <w:highlight w:val="none"/>
              </w:rPr>
            </w:pPr>
            <w:r>
              <w:rPr>
                <w:rFonts w:hint="eastAsia" w:ascii="宋体" w:hAnsi="宋体" w:cs="宋体"/>
                <w:color w:val="auto"/>
                <w:kern w:val="2"/>
                <w:szCs w:val="21"/>
                <w:highlight w:val="none"/>
              </w:rPr>
              <w:t>价格</w:t>
            </w:r>
          </w:p>
          <w:p w14:paraId="745F38A2">
            <w:pPr>
              <w:spacing w:line="240" w:lineRule="auto"/>
              <w:jc w:val="center"/>
              <w:rPr>
                <w:rFonts w:ascii="宋体" w:hAnsi="宋体" w:cs="宋体"/>
                <w:b/>
                <w:bCs/>
                <w:color w:val="auto"/>
                <w:kern w:val="2"/>
                <w:szCs w:val="21"/>
                <w:highlight w:val="none"/>
              </w:rPr>
            </w:pPr>
            <w:r>
              <w:rPr>
                <w:rFonts w:hint="eastAsia" w:ascii="宋体" w:hAnsi="宋体" w:cs="宋体"/>
                <w:color w:val="auto"/>
                <w:kern w:val="2"/>
                <w:szCs w:val="21"/>
                <w:highlight w:val="none"/>
              </w:rPr>
              <w:t>部分</w:t>
            </w:r>
          </w:p>
        </w:tc>
        <w:tc>
          <w:tcPr>
            <w:tcW w:w="1190" w:type="dxa"/>
            <w:noWrap/>
            <w:vAlign w:val="center"/>
          </w:tcPr>
          <w:p w14:paraId="7704E1F6">
            <w:pPr>
              <w:spacing w:line="460" w:lineRule="exact"/>
              <w:jc w:val="center"/>
              <w:rPr>
                <w:rFonts w:ascii="宋体" w:hAnsi="宋体" w:cs="宋体"/>
                <w:color w:val="auto"/>
                <w:kern w:val="2"/>
                <w:szCs w:val="21"/>
                <w:highlight w:val="none"/>
              </w:rPr>
            </w:pPr>
            <w:r>
              <w:rPr>
                <w:rFonts w:hint="eastAsia" w:ascii="宋体" w:hAnsi="宋体" w:cs="宋体"/>
                <w:color w:val="auto"/>
                <w:kern w:val="2"/>
                <w:szCs w:val="21"/>
                <w:highlight w:val="none"/>
              </w:rPr>
              <w:t>报价</w:t>
            </w:r>
          </w:p>
        </w:tc>
        <w:tc>
          <w:tcPr>
            <w:tcW w:w="531" w:type="dxa"/>
            <w:noWrap/>
            <w:vAlign w:val="center"/>
          </w:tcPr>
          <w:p w14:paraId="4F05154C">
            <w:pPr>
              <w:spacing w:line="460" w:lineRule="exact"/>
              <w:jc w:val="center"/>
              <w:rPr>
                <w:rFonts w:ascii="宋体" w:hAnsi="宋体" w:cs="宋体"/>
                <w:color w:val="auto"/>
                <w:kern w:val="2"/>
                <w:szCs w:val="21"/>
                <w:highlight w:val="none"/>
              </w:rPr>
            </w:pPr>
            <w:r>
              <w:rPr>
                <w:rFonts w:hint="eastAsia" w:ascii="宋体" w:hAnsi="宋体" w:cs="宋体"/>
                <w:color w:val="auto"/>
                <w:kern w:val="2"/>
                <w:szCs w:val="21"/>
                <w:highlight w:val="none"/>
              </w:rPr>
              <w:t>10</w:t>
            </w:r>
          </w:p>
        </w:tc>
        <w:tc>
          <w:tcPr>
            <w:tcW w:w="6964" w:type="dxa"/>
            <w:noWrap/>
          </w:tcPr>
          <w:p w14:paraId="0DFC726B">
            <w:pPr>
              <w:spacing w:line="360" w:lineRule="auto"/>
              <w:jc w:val="left"/>
              <w:rPr>
                <w:rFonts w:ascii="宋体" w:hAnsi="宋体" w:cs="宋体"/>
                <w:color w:val="auto"/>
                <w:kern w:val="2"/>
                <w:szCs w:val="21"/>
                <w:highlight w:val="none"/>
              </w:rPr>
            </w:pPr>
            <w:r>
              <w:rPr>
                <w:rFonts w:hint="eastAsia" w:ascii="宋体" w:hAnsi="宋体" w:cs="宋体"/>
                <w:color w:val="auto"/>
                <w:kern w:val="2"/>
                <w:szCs w:val="21"/>
                <w:highlight w:val="none"/>
              </w:rPr>
              <w:t>满足招标文件要求且投标报价最低的投标报价为评标基准价，其价格为满分。其他投标人的价格分按照下列公式计算：投标报价得分＝（评标基准价/投标报价）×10分。</w:t>
            </w:r>
          </w:p>
          <w:p w14:paraId="421A7C37">
            <w:pPr>
              <w:spacing w:line="360" w:lineRule="auto"/>
              <w:rPr>
                <w:rFonts w:ascii="宋体" w:hAnsi="宋体" w:cs="仿宋"/>
                <w:color w:val="auto"/>
                <w:szCs w:val="21"/>
                <w:highlight w:val="none"/>
              </w:rPr>
            </w:pPr>
            <w:r>
              <w:rPr>
                <w:rFonts w:hint="eastAsia" w:ascii="宋体" w:hAnsi="宋体" w:cs="仿宋"/>
                <w:color w:val="auto"/>
                <w:szCs w:val="21"/>
                <w:highlight w:val="none"/>
              </w:rPr>
              <w:t>注解：</w:t>
            </w:r>
          </w:p>
          <w:p w14:paraId="3E461175">
            <w:pPr>
              <w:spacing w:line="360" w:lineRule="auto"/>
              <w:rPr>
                <w:rFonts w:ascii="宋体" w:hAnsi="宋体" w:cs="仿宋"/>
                <w:color w:val="auto"/>
                <w:szCs w:val="21"/>
                <w:highlight w:val="none"/>
              </w:rPr>
            </w:pPr>
            <w:r>
              <w:rPr>
                <w:rFonts w:hint="eastAsia" w:ascii="宋体" w:hAnsi="宋体" w:cs="仿宋"/>
                <w:color w:val="auto"/>
                <w:szCs w:val="21"/>
                <w:highlight w:val="none"/>
              </w:rPr>
              <w:t>1.评标基准价为满足招标文件要求且投标价格最低的有效投标报价；</w:t>
            </w:r>
          </w:p>
          <w:p w14:paraId="7200A41A">
            <w:pPr>
              <w:spacing w:line="360" w:lineRule="auto"/>
              <w:rPr>
                <w:rFonts w:ascii="宋体" w:hAnsi="宋体" w:cs="仿宋"/>
                <w:color w:val="auto"/>
                <w:szCs w:val="21"/>
                <w:highlight w:val="none"/>
              </w:rPr>
            </w:pPr>
            <w:r>
              <w:rPr>
                <w:rFonts w:hint="eastAsia" w:ascii="宋体" w:hAnsi="宋体" w:cs="仿宋"/>
                <w:color w:val="auto"/>
                <w:szCs w:val="21"/>
                <w:highlight w:val="none"/>
              </w:rPr>
              <w:t>2.得分数值保留两位小数。</w:t>
            </w:r>
          </w:p>
          <w:p w14:paraId="3B081B32">
            <w:pPr>
              <w:widowControl/>
              <w:spacing w:line="360" w:lineRule="auto"/>
              <w:jc w:val="left"/>
              <w:rPr>
                <w:rFonts w:ascii="宋体" w:hAnsi="宋体" w:cs="仿宋"/>
                <w:color w:val="auto"/>
                <w:szCs w:val="21"/>
                <w:highlight w:val="none"/>
              </w:rPr>
            </w:pPr>
            <w:r>
              <w:rPr>
                <w:rFonts w:hint="eastAsia" w:ascii="宋体" w:hAnsi="宋体" w:cs="仿宋"/>
                <w:b/>
                <w:bCs/>
                <w:color w:val="auto"/>
                <w:szCs w:val="21"/>
                <w:highlight w:val="none"/>
              </w:rPr>
              <w:t>3.对小型和微型企业产品或者服务的价格给予20%的扣除，用扣除后的价格参与评审（因落实政府采购政策进行价格调整的，以调整后的价格计算评标基准价和投标报价），如有虚假，将按照《中华人民共和国政府采购法》第七十七条依法承担相应责任。</w:t>
            </w:r>
          </w:p>
          <w:p w14:paraId="369F0338">
            <w:pPr>
              <w:widowControl/>
              <w:spacing w:line="360" w:lineRule="auto"/>
              <w:jc w:val="left"/>
              <w:rPr>
                <w:rFonts w:ascii="宋体" w:hAnsi="宋体" w:cs="仿宋"/>
                <w:b/>
                <w:bCs/>
                <w:color w:val="auto"/>
                <w:szCs w:val="21"/>
                <w:highlight w:val="none"/>
              </w:rPr>
            </w:pPr>
            <w:r>
              <w:rPr>
                <w:rFonts w:hint="eastAsia" w:ascii="宋体" w:hAnsi="宋体" w:cs="仿宋"/>
                <w:b/>
                <w:bCs/>
                <w:color w:val="auto"/>
                <w:szCs w:val="21"/>
                <w:highlight w:val="none"/>
              </w:rPr>
              <w:t>4.评审过程中出现下列情形之一的，评审委员会应当启动异常低价投标(响应)审查程序:</w:t>
            </w:r>
          </w:p>
          <w:p w14:paraId="15F79E8E">
            <w:pPr>
              <w:widowControl/>
              <w:spacing w:line="360" w:lineRule="auto"/>
              <w:jc w:val="left"/>
              <w:rPr>
                <w:rFonts w:ascii="宋体" w:hAnsi="宋体" w:cs="仿宋"/>
                <w:b/>
                <w:bCs/>
                <w:color w:val="auto"/>
                <w:szCs w:val="21"/>
                <w:highlight w:val="none"/>
              </w:rPr>
            </w:pPr>
            <w:r>
              <w:rPr>
                <w:rFonts w:hint="eastAsia" w:ascii="宋体" w:hAnsi="宋体" w:cs="仿宋"/>
                <w:b/>
                <w:bCs/>
                <w:color w:val="auto"/>
                <w:szCs w:val="21"/>
                <w:highlight w:val="none"/>
              </w:rPr>
              <w:t>（1）投标(响应)报价低于采购项目预算50%的，即投标(响应)报价&lt;采购项目预算*50%;</w:t>
            </w:r>
          </w:p>
          <w:p w14:paraId="73FF3DC6">
            <w:pPr>
              <w:widowControl/>
              <w:spacing w:line="360" w:lineRule="auto"/>
              <w:jc w:val="left"/>
              <w:rPr>
                <w:rFonts w:ascii="宋体" w:hAnsi="宋体" w:cs="仿宋"/>
                <w:b/>
                <w:bCs/>
                <w:color w:val="auto"/>
                <w:szCs w:val="21"/>
                <w:highlight w:val="none"/>
              </w:rPr>
            </w:pPr>
            <w:r>
              <w:rPr>
                <w:rFonts w:hint="eastAsia" w:ascii="宋体" w:hAnsi="宋体" w:cs="仿宋"/>
                <w:b/>
                <w:bCs/>
                <w:color w:val="auto"/>
                <w:szCs w:val="21"/>
                <w:highlight w:val="none"/>
              </w:rPr>
              <w:t>（2）投标(响应)报价低于采购项目最高限价45%的，即投标(响应)报价&lt;采购项目最高限价*45%;</w:t>
            </w:r>
          </w:p>
          <w:p w14:paraId="06C8CBB8">
            <w:pPr>
              <w:widowControl/>
              <w:spacing w:line="360" w:lineRule="auto"/>
              <w:jc w:val="left"/>
              <w:rPr>
                <w:rFonts w:ascii="宋体" w:hAnsi="宋体" w:cs="仿宋"/>
                <w:b/>
                <w:bCs/>
                <w:color w:val="auto"/>
                <w:szCs w:val="21"/>
                <w:highlight w:val="none"/>
              </w:rPr>
            </w:pPr>
            <w:r>
              <w:rPr>
                <w:rFonts w:hint="eastAsia" w:ascii="宋体" w:hAnsi="宋体" w:cs="仿宋"/>
                <w:b/>
                <w:bCs/>
                <w:color w:val="auto"/>
                <w:szCs w:val="21"/>
                <w:highlight w:val="none"/>
              </w:rPr>
              <w:t>（3）评审委员会认定的供应商报价过低、有可能影响产品质量或者不能诚信履约的其他情形。</w:t>
            </w:r>
          </w:p>
          <w:p w14:paraId="46EA9495">
            <w:pPr>
              <w:widowControl/>
              <w:spacing w:line="360" w:lineRule="auto"/>
              <w:jc w:val="left"/>
              <w:rPr>
                <w:rFonts w:ascii="宋体" w:hAnsi="宋体" w:cs="宋体"/>
                <w:b/>
                <w:bCs/>
                <w:color w:val="auto"/>
                <w:kern w:val="2"/>
                <w:szCs w:val="21"/>
                <w:highlight w:val="none"/>
              </w:rPr>
            </w:pPr>
            <w:r>
              <w:rPr>
                <w:rFonts w:hint="eastAsia" w:ascii="宋体" w:hAnsi="宋体" w:cs="仿宋"/>
                <w:b/>
                <w:bCs/>
                <w:color w:val="auto"/>
                <w:szCs w:val="21"/>
                <w:highlight w:val="none"/>
              </w:rPr>
              <w:t>5.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乎等情况，依据专业经验对供应商报价合理性进行判断。投标(响应)供应商不提供书面说明、证明材料,或者提供的书面说明、证明材料不能证明其报价合理性的评审委员会应当将其作为无效投标(响应)处理。审查相关情况在评审报告中进行记录。</w:t>
            </w:r>
          </w:p>
        </w:tc>
      </w:tr>
      <w:tr w14:paraId="155335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45" w:hRule="atLeast"/>
          <w:jc w:val="center"/>
        </w:trPr>
        <w:tc>
          <w:tcPr>
            <w:tcW w:w="917" w:type="dxa"/>
            <w:vMerge w:val="restart"/>
            <w:noWrap/>
            <w:vAlign w:val="center"/>
          </w:tcPr>
          <w:p w14:paraId="693046F5">
            <w:pPr>
              <w:spacing w:line="240" w:lineRule="auto"/>
              <w:jc w:val="center"/>
              <w:rPr>
                <w:rFonts w:ascii="宋体" w:hAnsi="宋体" w:cs="宋体"/>
                <w:color w:val="auto"/>
                <w:kern w:val="2"/>
                <w:szCs w:val="21"/>
                <w:highlight w:val="none"/>
              </w:rPr>
            </w:pPr>
            <w:r>
              <w:rPr>
                <w:rFonts w:hint="eastAsia" w:ascii="宋体" w:hAnsi="宋体" w:cs="宋体"/>
                <w:color w:val="auto"/>
                <w:kern w:val="2"/>
                <w:szCs w:val="21"/>
                <w:highlight w:val="none"/>
              </w:rPr>
              <w:t>技术</w:t>
            </w:r>
          </w:p>
          <w:p w14:paraId="5865F842">
            <w:pPr>
              <w:spacing w:line="240" w:lineRule="auto"/>
              <w:jc w:val="center"/>
              <w:rPr>
                <w:rFonts w:ascii="宋体" w:hAnsi="宋体" w:cs="宋体"/>
                <w:color w:val="auto"/>
                <w:kern w:val="2"/>
                <w:szCs w:val="21"/>
                <w:highlight w:val="none"/>
              </w:rPr>
            </w:pPr>
            <w:r>
              <w:rPr>
                <w:rFonts w:hint="eastAsia" w:ascii="宋体" w:hAnsi="宋体" w:cs="宋体"/>
                <w:color w:val="auto"/>
                <w:kern w:val="2"/>
                <w:szCs w:val="21"/>
                <w:highlight w:val="none"/>
              </w:rPr>
              <w:t>部分</w:t>
            </w:r>
          </w:p>
        </w:tc>
        <w:tc>
          <w:tcPr>
            <w:tcW w:w="1190" w:type="dxa"/>
            <w:noWrap/>
            <w:vAlign w:val="center"/>
          </w:tcPr>
          <w:p w14:paraId="21267894">
            <w:pPr>
              <w:spacing w:line="460" w:lineRule="exact"/>
              <w:jc w:val="center"/>
              <w:rPr>
                <w:rFonts w:ascii="宋体" w:hAnsi="宋体" w:cs="宋体"/>
                <w:color w:val="auto"/>
                <w:kern w:val="2"/>
                <w:szCs w:val="21"/>
                <w:highlight w:val="none"/>
              </w:rPr>
            </w:pPr>
            <w:r>
              <w:rPr>
                <w:rFonts w:hint="eastAsia" w:ascii="宋体" w:hAnsi="宋体" w:cs="宋体"/>
                <w:color w:val="auto"/>
                <w:kern w:val="2"/>
                <w:szCs w:val="21"/>
                <w:highlight w:val="none"/>
              </w:rPr>
              <w:t>项目认知</w:t>
            </w:r>
          </w:p>
        </w:tc>
        <w:tc>
          <w:tcPr>
            <w:tcW w:w="531" w:type="dxa"/>
            <w:noWrap/>
            <w:vAlign w:val="center"/>
          </w:tcPr>
          <w:p w14:paraId="169B718E">
            <w:pPr>
              <w:spacing w:line="460" w:lineRule="exact"/>
              <w:jc w:val="center"/>
              <w:rPr>
                <w:rFonts w:ascii="宋体" w:hAnsi="宋体" w:cs="宋体"/>
                <w:color w:val="auto"/>
                <w:kern w:val="2"/>
                <w:szCs w:val="21"/>
                <w:highlight w:val="none"/>
              </w:rPr>
            </w:pPr>
            <w:r>
              <w:rPr>
                <w:rFonts w:hint="eastAsia" w:ascii="宋体" w:hAnsi="宋体" w:cs="宋体"/>
                <w:color w:val="auto"/>
                <w:kern w:val="2"/>
                <w:szCs w:val="21"/>
                <w:highlight w:val="none"/>
              </w:rPr>
              <w:t>9</w:t>
            </w:r>
          </w:p>
        </w:tc>
        <w:tc>
          <w:tcPr>
            <w:tcW w:w="6964" w:type="dxa"/>
            <w:noWrap/>
            <w:vAlign w:val="center"/>
          </w:tcPr>
          <w:p w14:paraId="4F3B1D7F">
            <w:pPr>
              <w:spacing w:line="360" w:lineRule="auto"/>
              <w:jc w:val="left"/>
              <w:rPr>
                <w:rFonts w:ascii="宋体" w:hAnsi="宋体" w:cs="宋体"/>
                <w:color w:val="auto"/>
                <w:szCs w:val="21"/>
                <w:highlight w:val="none"/>
              </w:rPr>
            </w:pPr>
            <w:r>
              <w:rPr>
                <w:rFonts w:hint="eastAsia" w:ascii="宋体" w:hAnsi="宋体" w:cs="宋体"/>
                <w:color w:val="auto"/>
                <w:szCs w:val="21"/>
                <w:highlight w:val="none"/>
              </w:rPr>
              <w:t>投标人提供项目认知说明[a.对项目的</w:t>
            </w:r>
            <w:r>
              <w:rPr>
                <w:rFonts w:hint="eastAsia" w:ascii="宋体" w:hAnsi="宋体"/>
                <w:color w:val="auto"/>
                <w:szCs w:val="21"/>
                <w:highlight w:val="none"/>
              </w:rPr>
              <w:t>理解和研究背景的</w:t>
            </w:r>
            <w:r>
              <w:rPr>
                <w:rFonts w:hint="eastAsia" w:ascii="宋体" w:hAnsi="宋体" w:cs="宋体"/>
                <w:color w:val="auto"/>
                <w:szCs w:val="21"/>
                <w:highlight w:val="none"/>
              </w:rPr>
              <w:t>认知（3分）、b.</w:t>
            </w:r>
            <w:r>
              <w:rPr>
                <w:rFonts w:hint="eastAsia" w:ascii="宋体" w:hAnsi="宋体" w:cs="宋体"/>
                <w:color w:val="auto"/>
                <w:kern w:val="2"/>
                <w:szCs w:val="21"/>
                <w:highlight w:val="none"/>
              </w:rPr>
              <w:t>工作范围的难点、重点等描述与分析</w:t>
            </w:r>
            <w:r>
              <w:rPr>
                <w:rFonts w:hint="eastAsia" w:ascii="宋体" w:hAnsi="宋体" w:cs="宋体"/>
                <w:color w:val="auto"/>
                <w:szCs w:val="21"/>
                <w:highlight w:val="none"/>
              </w:rPr>
              <w:t>（3分）、c.投标人承担本项目的优势（3分）]</w:t>
            </w:r>
          </w:p>
          <w:p w14:paraId="42108E67">
            <w:pPr>
              <w:spacing w:line="360" w:lineRule="auto"/>
              <w:jc w:val="left"/>
              <w:rPr>
                <w:rFonts w:ascii="宋体" w:hAnsi="宋体"/>
                <w:color w:val="auto"/>
                <w:szCs w:val="21"/>
                <w:highlight w:val="none"/>
              </w:rPr>
            </w:pPr>
            <w:r>
              <w:rPr>
                <w:rFonts w:hint="eastAsia" w:ascii="宋体" w:hAnsi="宋体"/>
                <w:color w:val="auto"/>
                <w:szCs w:val="21"/>
                <w:highlight w:val="none"/>
              </w:rPr>
              <w:t>投标人应在投标文件中设置专节来对上述内容作出响应性说明，每缺一项说明扣相应分值，评标委员会根据项目的实施需求和各投标人提供的</w:t>
            </w:r>
            <w:r>
              <w:rPr>
                <w:rFonts w:hint="eastAsia" w:ascii="宋体" w:hAnsi="宋体" w:cs="宋体"/>
                <w:color w:val="auto"/>
                <w:kern w:val="2"/>
                <w:szCs w:val="21"/>
                <w:highlight w:val="none"/>
              </w:rPr>
              <w:t>项目认知</w:t>
            </w:r>
            <w:r>
              <w:rPr>
                <w:rFonts w:hint="eastAsia" w:ascii="宋体" w:hAnsi="宋体"/>
                <w:color w:val="auto"/>
                <w:szCs w:val="21"/>
                <w:highlight w:val="none"/>
              </w:rPr>
              <w:t>进行综合打分：</w:t>
            </w:r>
          </w:p>
          <w:p w14:paraId="31FEC665">
            <w:pPr>
              <w:spacing w:line="360" w:lineRule="auto"/>
              <w:jc w:val="left"/>
              <w:rPr>
                <w:rFonts w:ascii="宋体" w:hAnsi="宋体" w:cs="宋体"/>
                <w:color w:val="auto"/>
                <w:szCs w:val="21"/>
                <w:highlight w:val="none"/>
              </w:rPr>
            </w:pPr>
            <w:r>
              <w:rPr>
                <w:rFonts w:hint="eastAsia" w:ascii="宋体" w:hAnsi="宋体" w:cs="宋体"/>
                <w:color w:val="auto"/>
                <w:szCs w:val="21"/>
                <w:highlight w:val="none"/>
              </w:rPr>
              <w:t>每项内容完整、说明合理可行，综合评定较好得，打分区间3—2（不含）分；</w:t>
            </w:r>
          </w:p>
          <w:p w14:paraId="04D3373D">
            <w:pPr>
              <w:spacing w:line="360" w:lineRule="auto"/>
              <w:jc w:val="left"/>
              <w:rPr>
                <w:rFonts w:ascii="宋体" w:hAnsi="宋体" w:cs="宋体"/>
                <w:color w:val="auto"/>
                <w:szCs w:val="21"/>
                <w:highlight w:val="none"/>
              </w:rPr>
            </w:pPr>
            <w:r>
              <w:rPr>
                <w:rFonts w:hint="eastAsia" w:ascii="宋体" w:hAnsi="宋体" w:cs="宋体"/>
                <w:color w:val="auto"/>
                <w:szCs w:val="21"/>
                <w:highlight w:val="none"/>
              </w:rPr>
              <w:t>每项内容基本完整、说明较为合理，综合评定一般得，打分区间2（含）—1（不含）分；</w:t>
            </w:r>
          </w:p>
          <w:p w14:paraId="75902302">
            <w:pPr>
              <w:spacing w:line="360" w:lineRule="auto"/>
              <w:jc w:val="left"/>
              <w:rPr>
                <w:rFonts w:ascii="宋体" w:hAnsi="宋体" w:cs="宋体"/>
                <w:color w:val="auto"/>
                <w:szCs w:val="21"/>
                <w:highlight w:val="none"/>
              </w:rPr>
            </w:pPr>
            <w:r>
              <w:rPr>
                <w:rFonts w:hint="eastAsia" w:ascii="宋体" w:hAnsi="宋体" w:cs="宋体"/>
                <w:color w:val="auto"/>
                <w:szCs w:val="21"/>
                <w:highlight w:val="none"/>
              </w:rPr>
              <w:t>每项内容不完整、说明可行性不足，综合评定差得，打分区间1（含）—0分。</w:t>
            </w:r>
          </w:p>
          <w:p w14:paraId="482956F7">
            <w:pPr>
              <w:spacing w:line="360" w:lineRule="auto"/>
              <w:jc w:val="left"/>
              <w:rPr>
                <w:rFonts w:ascii="宋体" w:hAnsi="宋体"/>
                <w:color w:val="auto"/>
                <w:szCs w:val="21"/>
                <w:highlight w:val="none"/>
              </w:rPr>
            </w:pPr>
            <w:r>
              <w:rPr>
                <w:rFonts w:hint="eastAsia" w:ascii="宋体" w:hAnsi="宋体" w:cs="宋体"/>
                <w:color w:val="auto"/>
                <w:szCs w:val="21"/>
                <w:highlight w:val="none"/>
              </w:rPr>
              <w:t>未提供项目认知说明的不得分。</w:t>
            </w:r>
          </w:p>
        </w:tc>
      </w:tr>
      <w:tr w14:paraId="5DE53D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7" w:hRule="atLeast"/>
          <w:jc w:val="center"/>
        </w:trPr>
        <w:tc>
          <w:tcPr>
            <w:tcW w:w="917" w:type="dxa"/>
            <w:vMerge w:val="continue"/>
            <w:noWrap/>
            <w:vAlign w:val="center"/>
          </w:tcPr>
          <w:p w14:paraId="7BC93491">
            <w:pPr>
              <w:spacing w:line="460" w:lineRule="exact"/>
              <w:jc w:val="center"/>
              <w:rPr>
                <w:rFonts w:ascii="宋体" w:hAnsi="宋体" w:cs="宋体"/>
                <w:color w:val="auto"/>
                <w:kern w:val="2"/>
                <w:szCs w:val="21"/>
                <w:highlight w:val="none"/>
              </w:rPr>
            </w:pPr>
          </w:p>
        </w:tc>
        <w:tc>
          <w:tcPr>
            <w:tcW w:w="1190" w:type="dxa"/>
            <w:noWrap/>
            <w:vAlign w:val="center"/>
          </w:tcPr>
          <w:p w14:paraId="744ED6FC">
            <w:pPr>
              <w:spacing w:line="460" w:lineRule="exact"/>
              <w:jc w:val="center"/>
              <w:rPr>
                <w:rFonts w:ascii="宋体" w:hAnsi="宋体" w:cs="宋体"/>
                <w:color w:val="auto"/>
                <w:kern w:val="2"/>
                <w:szCs w:val="21"/>
                <w:highlight w:val="none"/>
              </w:rPr>
            </w:pPr>
            <w:r>
              <w:rPr>
                <w:rFonts w:hint="eastAsia" w:ascii="宋体" w:hAnsi="宋体" w:cs="宋体"/>
                <w:color w:val="auto"/>
                <w:szCs w:val="21"/>
                <w:highlight w:val="none"/>
              </w:rPr>
              <w:t>项目技术方案</w:t>
            </w:r>
          </w:p>
        </w:tc>
        <w:tc>
          <w:tcPr>
            <w:tcW w:w="531" w:type="dxa"/>
            <w:noWrap/>
            <w:vAlign w:val="center"/>
          </w:tcPr>
          <w:p w14:paraId="38A447A8">
            <w:pPr>
              <w:spacing w:line="460" w:lineRule="exact"/>
              <w:jc w:val="center"/>
              <w:rPr>
                <w:rFonts w:ascii="宋体" w:hAnsi="宋体" w:cs="宋体"/>
                <w:color w:val="auto"/>
                <w:kern w:val="2"/>
                <w:szCs w:val="21"/>
                <w:highlight w:val="none"/>
              </w:rPr>
            </w:pPr>
            <w:r>
              <w:rPr>
                <w:rFonts w:hint="eastAsia" w:ascii="宋体" w:hAnsi="宋体" w:cs="宋体"/>
                <w:color w:val="auto"/>
                <w:kern w:val="2"/>
                <w:szCs w:val="21"/>
                <w:highlight w:val="none"/>
              </w:rPr>
              <w:t>25</w:t>
            </w:r>
          </w:p>
        </w:tc>
        <w:tc>
          <w:tcPr>
            <w:tcW w:w="6964" w:type="dxa"/>
            <w:noWrap/>
            <w:vAlign w:val="center"/>
          </w:tcPr>
          <w:p w14:paraId="002DD616">
            <w:pPr>
              <w:pageBreakBefore/>
              <w:kinsoku w:val="0"/>
              <w:wordWrap w:val="0"/>
              <w:overflowPunct w:val="0"/>
              <w:topLinePunct/>
              <w:autoSpaceDE w:val="0"/>
              <w:autoSpaceDN w:val="0"/>
              <w:spacing w:line="360" w:lineRule="auto"/>
              <w:jc w:val="left"/>
              <w:rPr>
                <w:rFonts w:ascii="宋体" w:hAnsi="宋体" w:cs="宋体"/>
                <w:color w:val="auto"/>
                <w:szCs w:val="21"/>
                <w:highlight w:val="none"/>
              </w:rPr>
            </w:pPr>
            <w:r>
              <w:rPr>
                <w:rFonts w:hint="eastAsia" w:ascii="宋体" w:hAnsi="宋体" w:cs="宋体"/>
                <w:color w:val="auto"/>
                <w:szCs w:val="21"/>
                <w:highlight w:val="none"/>
              </w:rPr>
              <w:t>投标人提供项目技术方案[a.</w:t>
            </w:r>
            <w:r>
              <w:rPr>
                <w:rFonts w:hint="eastAsia" w:ascii="宋体" w:hAnsi="宋体"/>
                <w:color w:val="auto"/>
                <w:szCs w:val="21"/>
                <w:highlight w:val="none"/>
              </w:rPr>
              <w:t>规划总体思路及目标</w:t>
            </w:r>
            <w:r>
              <w:rPr>
                <w:rFonts w:hint="eastAsia" w:ascii="宋体" w:hAnsi="宋体" w:cs="宋体"/>
                <w:color w:val="auto"/>
                <w:szCs w:val="21"/>
                <w:highlight w:val="none"/>
              </w:rPr>
              <w:t>（5分）、b.项目</w:t>
            </w:r>
            <w:r>
              <w:rPr>
                <w:rFonts w:hint="eastAsia" w:ascii="宋体" w:hAnsi="宋体"/>
                <w:color w:val="auto"/>
                <w:szCs w:val="21"/>
                <w:highlight w:val="none"/>
              </w:rPr>
              <w:t>研究方法和技术路线</w:t>
            </w:r>
            <w:r>
              <w:rPr>
                <w:rFonts w:hint="eastAsia" w:ascii="宋体" w:hAnsi="宋体" w:cs="宋体"/>
                <w:color w:val="auto"/>
                <w:szCs w:val="21"/>
                <w:highlight w:val="none"/>
              </w:rPr>
              <w:t>（5分）、c.项目技术规划的时间节点安排（5分）、d.拟派项目组人员的计划安排及管理考核（5分）、e.工作组织实施内容（5分）]</w:t>
            </w:r>
          </w:p>
          <w:p w14:paraId="6A803FD7">
            <w:pPr>
              <w:spacing w:line="360" w:lineRule="auto"/>
              <w:rPr>
                <w:rFonts w:ascii="宋体" w:hAnsi="宋体"/>
                <w:color w:val="auto"/>
                <w:szCs w:val="21"/>
                <w:highlight w:val="none"/>
              </w:rPr>
            </w:pPr>
            <w:r>
              <w:rPr>
                <w:rFonts w:hint="eastAsia" w:ascii="宋体" w:hAnsi="宋体"/>
                <w:color w:val="auto"/>
                <w:szCs w:val="21"/>
                <w:highlight w:val="none"/>
              </w:rPr>
              <w:t>投标人应在投标文件中设置专节来对上述内容作出响应性说明，每缺一项说明扣相应分值，评标委员会根据项目的实施需求和各投标人提供的方案进行综合打分：</w:t>
            </w:r>
          </w:p>
          <w:p w14:paraId="6AC12FF6">
            <w:pPr>
              <w:spacing w:line="360" w:lineRule="auto"/>
              <w:jc w:val="left"/>
              <w:rPr>
                <w:rFonts w:ascii="宋体" w:hAnsi="宋体" w:cs="宋体"/>
                <w:color w:val="auto"/>
                <w:szCs w:val="21"/>
                <w:highlight w:val="none"/>
              </w:rPr>
            </w:pPr>
            <w:r>
              <w:rPr>
                <w:rFonts w:hint="eastAsia" w:ascii="宋体" w:hAnsi="宋体" w:cs="宋体"/>
                <w:color w:val="auto"/>
                <w:szCs w:val="21"/>
                <w:highlight w:val="none"/>
              </w:rPr>
              <w:t>每项内容完整、方案合理可行，综合评定较好得，打分区间5—3（不含）分；</w:t>
            </w:r>
          </w:p>
          <w:p w14:paraId="04EEB047">
            <w:pPr>
              <w:spacing w:line="360" w:lineRule="auto"/>
              <w:jc w:val="left"/>
              <w:rPr>
                <w:rFonts w:ascii="宋体" w:hAnsi="宋体" w:cs="宋体"/>
                <w:color w:val="auto"/>
                <w:szCs w:val="21"/>
                <w:highlight w:val="none"/>
              </w:rPr>
            </w:pPr>
            <w:r>
              <w:rPr>
                <w:rFonts w:hint="eastAsia" w:ascii="宋体" w:hAnsi="宋体" w:cs="宋体"/>
                <w:color w:val="auto"/>
                <w:szCs w:val="21"/>
                <w:highlight w:val="none"/>
              </w:rPr>
              <w:t>每项内容基本完整、方案较为合理，综合评定一般得，打分区间3（含）—1（不含）分；</w:t>
            </w:r>
          </w:p>
          <w:p w14:paraId="6C282599">
            <w:pPr>
              <w:spacing w:line="360" w:lineRule="auto"/>
              <w:jc w:val="left"/>
              <w:rPr>
                <w:rFonts w:ascii="宋体" w:hAnsi="宋体" w:cs="宋体"/>
                <w:color w:val="auto"/>
                <w:szCs w:val="21"/>
                <w:highlight w:val="none"/>
              </w:rPr>
            </w:pPr>
            <w:r>
              <w:rPr>
                <w:rFonts w:hint="eastAsia" w:ascii="宋体" w:hAnsi="宋体" w:cs="宋体"/>
                <w:color w:val="auto"/>
                <w:szCs w:val="21"/>
                <w:highlight w:val="none"/>
              </w:rPr>
              <w:t>每项内容不完整、方案可行性不足，综合评定差得，打分区间1（含）—0分。</w:t>
            </w:r>
          </w:p>
          <w:p w14:paraId="1BA4C4DE">
            <w:pPr>
              <w:spacing w:line="360" w:lineRule="auto"/>
              <w:rPr>
                <w:rFonts w:ascii="宋体" w:hAnsi="宋体"/>
                <w:color w:val="auto"/>
                <w:szCs w:val="21"/>
                <w:highlight w:val="none"/>
              </w:rPr>
            </w:pPr>
            <w:r>
              <w:rPr>
                <w:rFonts w:hint="eastAsia" w:ascii="宋体" w:hAnsi="宋体" w:cs="宋体"/>
                <w:color w:val="auto"/>
                <w:szCs w:val="21"/>
                <w:highlight w:val="none"/>
              </w:rPr>
              <w:t>未提供项</w:t>
            </w:r>
            <w:r>
              <w:rPr>
                <w:rFonts w:hint="eastAsia" w:ascii="宋体" w:hAnsi="宋体" w:cs="宋体"/>
                <w:color w:val="auto"/>
                <w:kern w:val="2"/>
                <w:szCs w:val="21"/>
                <w:highlight w:val="none"/>
              </w:rPr>
              <w:t>目技术方案的</w:t>
            </w:r>
            <w:r>
              <w:rPr>
                <w:rFonts w:hint="eastAsia" w:ascii="宋体" w:hAnsi="宋体" w:cs="宋体"/>
                <w:color w:val="auto"/>
                <w:szCs w:val="21"/>
                <w:highlight w:val="none"/>
              </w:rPr>
              <w:t>不得分。</w:t>
            </w:r>
          </w:p>
        </w:tc>
      </w:tr>
      <w:tr w14:paraId="3FD23D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45" w:hRule="atLeast"/>
          <w:jc w:val="center"/>
        </w:trPr>
        <w:tc>
          <w:tcPr>
            <w:tcW w:w="917" w:type="dxa"/>
            <w:vMerge w:val="continue"/>
            <w:noWrap/>
            <w:vAlign w:val="center"/>
          </w:tcPr>
          <w:p w14:paraId="5CDBE4F0">
            <w:pPr>
              <w:spacing w:line="460" w:lineRule="exact"/>
              <w:jc w:val="center"/>
              <w:rPr>
                <w:rFonts w:ascii="宋体" w:hAnsi="宋体" w:cs="宋体"/>
                <w:color w:val="auto"/>
                <w:kern w:val="2"/>
                <w:szCs w:val="21"/>
                <w:highlight w:val="none"/>
              </w:rPr>
            </w:pPr>
          </w:p>
        </w:tc>
        <w:tc>
          <w:tcPr>
            <w:tcW w:w="1190" w:type="dxa"/>
            <w:noWrap/>
            <w:vAlign w:val="center"/>
          </w:tcPr>
          <w:p w14:paraId="656AE41F">
            <w:pPr>
              <w:snapToGrid w:val="0"/>
              <w:spacing w:line="240" w:lineRule="auto"/>
              <w:jc w:val="center"/>
              <w:rPr>
                <w:rFonts w:ascii="宋体" w:hAnsi="宋体" w:cs="宋体"/>
                <w:color w:val="auto"/>
                <w:kern w:val="2"/>
                <w:szCs w:val="21"/>
                <w:highlight w:val="none"/>
              </w:rPr>
            </w:pPr>
            <w:r>
              <w:rPr>
                <w:rFonts w:hint="eastAsia" w:ascii="宋体" w:hAnsi="宋体" w:cs="宋体"/>
                <w:color w:val="auto"/>
                <w:kern w:val="2"/>
                <w:szCs w:val="21"/>
                <w:highlight w:val="none"/>
              </w:rPr>
              <w:t>项目质量保证措施</w:t>
            </w:r>
          </w:p>
        </w:tc>
        <w:tc>
          <w:tcPr>
            <w:tcW w:w="531" w:type="dxa"/>
            <w:noWrap/>
            <w:vAlign w:val="center"/>
          </w:tcPr>
          <w:p w14:paraId="32714C54">
            <w:pPr>
              <w:spacing w:line="460" w:lineRule="exact"/>
              <w:jc w:val="center"/>
              <w:rPr>
                <w:rFonts w:ascii="宋体" w:hAnsi="宋体" w:cs="宋体"/>
                <w:color w:val="auto"/>
                <w:kern w:val="2"/>
                <w:szCs w:val="21"/>
                <w:highlight w:val="none"/>
              </w:rPr>
            </w:pPr>
            <w:r>
              <w:rPr>
                <w:rFonts w:hint="eastAsia" w:ascii="宋体" w:hAnsi="宋体" w:cs="宋体"/>
                <w:color w:val="auto"/>
                <w:kern w:val="2"/>
                <w:szCs w:val="21"/>
                <w:highlight w:val="none"/>
              </w:rPr>
              <w:t>15</w:t>
            </w:r>
          </w:p>
        </w:tc>
        <w:tc>
          <w:tcPr>
            <w:tcW w:w="6964" w:type="dxa"/>
            <w:noWrap/>
            <w:vAlign w:val="center"/>
          </w:tcPr>
          <w:p w14:paraId="5819E30E">
            <w:pPr>
              <w:spacing w:line="360" w:lineRule="auto"/>
              <w:jc w:val="left"/>
              <w:rPr>
                <w:rFonts w:ascii="宋体" w:hAnsi="宋体" w:cs="宋体"/>
                <w:color w:val="auto"/>
                <w:szCs w:val="21"/>
                <w:highlight w:val="none"/>
              </w:rPr>
            </w:pPr>
            <w:r>
              <w:rPr>
                <w:rFonts w:hint="eastAsia" w:ascii="宋体" w:hAnsi="宋体" w:cs="宋体"/>
                <w:color w:val="auto"/>
                <w:szCs w:val="21"/>
                <w:highlight w:val="none"/>
              </w:rPr>
              <w:t>投标人提供</w:t>
            </w:r>
            <w:r>
              <w:rPr>
                <w:rFonts w:hint="eastAsia" w:ascii="宋体" w:hAnsi="宋体" w:cs="宋体"/>
                <w:color w:val="auto"/>
                <w:kern w:val="2"/>
                <w:szCs w:val="21"/>
                <w:highlight w:val="none"/>
              </w:rPr>
              <w:t>项目质量保证措施</w:t>
            </w:r>
            <w:r>
              <w:rPr>
                <w:rFonts w:hint="eastAsia" w:ascii="宋体" w:hAnsi="宋体" w:cs="宋体"/>
                <w:color w:val="auto"/>
                <w:szCs w:val="21"/>
                <w:highlight w:val="none"/>
              </w:rPr>
              <w:t>[a.项目进度保障措施（5分）、b.技术质量保障措施（5分）、c.安全保密保障措施（5分）]</w:t>
            </w:r>
          </w:p>
          <w:p w14:paraId="1D2BF636">
            <w:pPr>
              <w:spacing w:line="360" w:lineRule="auto"/>
              <w:rPr>
                <w:rFonts w:ascii="宋体" w:hAnsi="宋体"/>
                <w:color w:val="auto"/>
                <w:szCs w:val="21"/>
                <w:highlight w:val="none"/>
              </w:rPr>
            </w:pPr>
            <w:r>
              <w:rPr>
                <w:rFonts w:hint="eastAsia" w:ascii="宋体" w:hAnsi="宋体"/>
                <w:color w:val="auto"/>
                <w:szCs w:val="21"/>
                <w:highlight w:val="none"/>
              </w:rPr>
              <w:t>投标人应在投标文件中设置专节来对上述内容作出响应性说明，每缺一项说明扣相应分值，评标委员会根据项目的实施需求和各投标人提供的</w:t>
            </w:r>
            <w:r>
              <w:rPr>
                <w:rFonts w:hint="eastAsia" w:ascii="宋体" w:hAnsi="宋体" w:cs="宋体"/>
                <w:color w:val="auto"/>
                <w:kern w:val="2"/>
                <w:szCs w:val="21"/>
                <w:highlight w:val="none"/>
              </w:rPr>
              <w:t>质量保证</w:t>
            </w:r>
            <w:r>
              <w:rPr>
                <w:rFonts w:hint="eastAsia" w:ascii="宋体" w:hAnsi="宋体"/>
                <w:color w:val="auto"/>
                <w:szCs w:val="21"/>
                <w:highlight w:val="none"/>
              </w:rPr>
              <w:t>措施内容进行综合打分：</w:t>
            </w:r>
          </w:p>
          <w:p w14:paraId="4023F7F3">
            <w:pPr>
              <w:spacing w:line="360" w:lineRule="auto"/>
              <w:jc w:val="left"/>
              <w:rPr>
                <w:rFonts w:ascii="宋体" w:hAnsi="宋体" w:cs="宋体"/>
                <w:color w:val="auto"/>
                <w:szCs w:val="21"/>
                <w:highlight w:val="none"/>
              </w:rPr>
            </w:pPr>
            <w:r>
              <w:rPr>
                <w:rFonts w:hint="eastAsia" w:ascii="宋体" w:hAnsi="宋体" w:cs="宋体"/>
                <w:color w:val="auto"/>
                <w:szCs w:val="21"/>
                <w:highlight w:val="none"/>
              </w:rPr>
              <w:t>每项内容完整、</w:t>
            </w:r>
            <w:r>
              <w:rPr>
                <w:rFonts w:hint="eastAsia" w:ascii="宋体" w:hAnsi="宋体" w:cs="宋体"/>
                <w:color w:val="auto"/>
                <w:kern w:val="2"/>
                <w:szCs w:val="21"/>
                <w:highlight w:val="none"/>
              </w:rPr>
              <w:t>措施</w:t>
            </w:r>
            <w:r>
              <w:rPr>
                <w:rFonts w:hint="eastAsia" w:ascii="宋体" w:hAnsi="宋体" w:cs="宋体"/>
                <w:color w:val="auto"/>
                <w:szCs w:val="21"/>
                <w:highlight w:val="none"/>
              </w:rPr>
              <w:t>方案合理可行，综合评定较好得，打分区间5—3（不含）分；</w:t>
            </w:r>
          </w:p>
          <w:p w14:paraId="4791A4A7">
            <w:pPr>
              <w:spacing w:line="360" w:lineRule="auto"/>
              <w:jc w:val="left"/>
              <w:rPr>
                <w:rFonts w:ascii="宋体" w:hAnsi="宋体" w:cs="宋体"/>
                <w:color w:val="auto"/>
                <w:szCs w:val="21"/>
                <w:highlight w:val="none"/>
              </w:rPr>
            </w:pPr>
            <w:r>
              <w:rPr>
                <w:rFonts w:hint="eastAsia" w:ascii="宋体" w:hAnsi="宋体" w:cs="宋体"/>
                <w:color w:val="auto"/>
                <w:szCs w:val="21"/>
                <w:highlight w:val="none"/>
              </w:rPr>
              <w:t>每项内容基本完整、</w:t>
            </w:r>
            <w:r>
              <w:rPr>
                <w:rFonts w:hint="eastAsia" w:ascii="宋体" w:hAnsi="宋体" w:cs="宋体"/>
                <w:color w:val="auto"/>
                <w:kern w:val="2"/>
                <w:szCs w:val="21"/>
                <w:highlight w:val="none"/>
              </w:rPr>
              <w:t>措施</w:t>
            </w:r>
            <w:r>
              <w:rPr>
                <w:rFonts w:hint="eastAsia" w:ascii="宋体" w:hAnsi="宋体" w:cs="宋体"/>
                <w:color w:val="auto"/>
                <w:szCs w:val="21"/>
                <w:highlight w:val="none"/>
              </w:rPr>
              <w:t>方案较为合理，综合评定一般得，打分区间3（含）—1（不含）分；</w:t>
            </w:r>
          </w:p>
          <w:p w14:paraId="518435C6">
            <w:pPr>
              <w:spacing w:line="360" w:lineRule="auto"/>
              <w:jc w:val="left"/>
              <w:rPr>
                <w:rFonts w:ascii="宋体" w:hAnsi="宋体" w:cs="宋体"/>
                <w:color w:val="auto"/>
                <w:szCs w:val="21"/>
                <w:highlight w:val="none"/>
              </w:rPr>
            </w:pPr>
            <w:r>
              <w:rPr>
                <w:rFonts w:hint="eastAsia" w:ascii="宋体" w:hAnsi="宋体" w:cs="宋体"/>
                <w:color w:val="auto"/>
                <w:szCs w:val="21"/>
                <w:highlight w:val="none"/>
              </w:rPr>
              <w:t>每项内容不完整、</w:t>
            </w:r>
            <w:r>
              <w:rPr>
                <w:rFonts w:hint="eastAsia" w:ascii="宋体" w:hAnsi="宋体" w:cs="宋体"/>
                <w:color w:val="auto"/>
                <w:kern w:val="2"/>
                <w:szCs w:val="21"/>
                <w:highlight w:val="none"/>
              </w:rPr>
              <w:t>措施</w:t>
            </w:r>
            <w:r>
              <w:rPr>
                <w:rFonts w:hint="eastAsia" w:ascii="宋体" w:hAnsi="宋体" w:cs="宋体"/>
                <w:color w:val="auto"/>
                <w:szCs w:val="21"/>
                <w:highlight w:val="none"/>
              </w:rPr>
              <w:t>方案可行性不足，综合评定差得，打分区间1（含）—0分。</w:t>
            </w:r>
          </w:p>
          <w:p w14:paraId="516F52FF">
            <w:pPr>
              <w:spacing w:line="360" w:lineRule="auto"/>
              <w:rPr>
                <w:rFonts w:ascii="宋体" w:hAnsi="宋体"/>
                <w:color w:val="auto"/>
                <w:szCs w:val="21"/>
                <w:highlight w:val="none"/>
              </w:rPr>
            </w:pPr>
            <w:r>
              <w:rPr>
                <w:rFonts w:hint="eastAsia" w:ascii="宋体" w:hAnsi="宋体" w:cs="宋体"/>
                <w:color w:val="auto"/>
                <w:szCs w:val="21"/>
                <w:highlight w:val="none"/>
              </w:rPr>
              <w:t>未提供</w:t>
            </w:r>
            <w:r>
              <w:rPr>
                <w:rFonts w:hint="eastAsia" w:ascii="宋体" w:hAnsi="宋体" w:cs="宋体"/>
                <w:color w:val="auto"/>
                <w:kern w:val="2"/>
                <w:szCs w:val="21"/>
                <w:highlight w:val="none"/>
              </w:rPr>
              <w:t>项目质量保证措施的</w:t>
            </w:r>
            <w:r>
              <w:rPr>
                <w:rFonts w:hint="eastAsia" w:ascii="宋体" w:hAnsi="宋体" w:cs="宋体"/>
                <w:color w:val="auto"/>
                <w:szCs w:val="21"/>
                <w:highlight w:val="none"/>
              </w:rPr>
              <w:t>不得分。</w:t>
            </w:r>
          </w:p>
        </w:tc>
      </w:tr>
      <w:tr w14:paraId="5D98DB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45" w:hRule="atLeast"/>
          <w:jc w:val="center"/>
        </w:trPr>
        <w:tc>
          <w:tcPr>
            <w:tcW w:w="917" w:type="dxa"/>
            <w:vMerge w:val="continue"/>
            <w:noWrap/>
            <w:vAlign w:val="center"/>
          </w:tcPr>
          <w:p w14:paraId="5BA57460">
            <w:pPr>
              <w:spacing w:line="460" w:lineRule="exact"/>
              <w:jc w:val="center"/>
              <w:rPr>
                <w:rFonts w:ascii="宋体" w:hAnsi="宋体" w:cs="宋体"/>
                <w:color w:val="auto"/>
                <w:kern w:val="2"/>
                <w:szCs w:val="21"/>
                <w:highlight w:val="none"/>
              </w:rPr>
            </w:pPr>
          </w:p>
        </w:tc>
        <w:tc>
          <w:tcPr>
            <w:tcW w:w="1190" w:type="dxa"/>
            <w:noWrap/>
            <w:vAlign w:val="center"/>
          </w:tcPr>
          <w:p w14:paraId="13005845">
            <w:pPr>
              <w:snapToGrid w:val="0"/>
              <w:spacing w:line="240" w:lineRule="auto"/>
              <w:jc w:val="center"/>
              <w:rPr>
                <w:rFonts w:ascii="宋体" w:hAnsi="宋体" w:cs="宋体"/>
                <w:color w:val="auto"/>
                <w:kern w:val="2"/>
                <w:szCs w:val="21"/>
                <w:highlight w:val="none"/>
              </w:rPr>
            </w:pPr>
            <w:r>
              <w:rPr>
                <w:rFonts w:hint="eastAsia" w:ascii="宋体" w:hAnsi="宋体" w:cs="宋体"/>
                <w:color w:val="auto"/>
                <w:kern w:val="2"/>
                <w:szCs w:val="21"/>
                <w:highlight w:val="none"/>
              </w:rPr>
              <w:t>合理化建议</w:t>
            </w:r>
          </w:p>
        </w:tc>
        <w:tc>
          <w:tcPr>
            <w:tcW w:w="531" w:type="dxa"/>
            <w:noWrap/>
            <w:vAlign w:val="center"/>
          </w:tcPr>
          <w:p w14:paraId="10B65F86">
            <w:pPr>
              <w:spacing w:line="460" w:lineRule="exact"/>
              <w:jc w:val="center"/>
              <w:rPr>
                <w:rFonts w:ascii="宋体" w:hAnsi="宋体" w:cs="宋体"/>
                <w:color w:val="auto"/>
                <w:kern w:val="2"/>
                <w:szCs w:val="21"/>
                <w:highlight w:val="none"/>
              </w:rPr>
            </w:pPr>
            <w:r>
              <w:rPr>
                <w:rFonts w:hint="eastAsia" w:ascii="宋体" w:hAnsi="宋体" w:cs="宋体"/>
                <w:color w:val="auto"/>
                <w:kern w:val="2"/>
                <w:szCs w:val="21"/>
                <w:highlight w:val="none"/>
              </w:rPr>
              <w:t>6</w:t>
            </w:r>
          </w:p>
        </w:tc>
        <w:tc>
          <w:tcPr>
            <w:tcW w:w="6964" w:type="dxa"/>
            <w:noWrap/>
            <w:vAlign w:val="center"/>
          </w:tcPr>
          <w:p w14:paraId="5B1E19D7">
            <w:pPr>
              <w:overflowPunct w:val="0"/>
              <w:autoSpaceDE w:val="0"/>
              <w:autoSpaceDN w:val="0"/>
              <w:spacing w:line="360" w:lineRule="auto"/>
              <w:jc w:val="left"/>
              <w:rPr>
                <w:rFonts w:ascii="宋体" w:hAnsi="宋体" w:cs="宋体"/>
                <w:color w:val="auto"/>
                <w:szCs w:val="21"/>
                <w:highlight w:val="none"/>
              </w:rPr>
            </w:pPr>
            <w:r>
              <w:rPr>
                <w:rFonts w:hint="eastAsia" w:ascii="宋体" w:hAnsi="宋体" w:cs="宋体"/>
                <w:color w:val="auto"/>
                <w:szCs w:val="21"/>
                <w:highlight w:val="none"/>
              </w:rPr>
              <w:t>投标人提供</w:t>
            </w:r>
            <w:r>
              <w:rPr>
                <w:rFonts w:hint="eastAsia" w:ascii="宋体" w:hAnsi="宋体" w:cs="宋体"/>
                <w:color w:val="auto"/>
                <w:kern w:val="2"/>
                <w:szCs w:val="21"/>
                <w:highlight w:val="none"/>
              </w:rPr>
              <w:t>合理化建议</w:t>
            </w:r>
            <w:r>
              <w:rPr>
                <w:rFonts w:hint="eastAsia" w:ascii="宋体" w:hAnsi="宋体" w:cs="宋体"/>
                <w:color w:val="auto"/>
                <w:szCs w:val="21"/>
                <w:highlight w:val="none"/>
              </w:rPr>
              <w:t>[a.</w:t>
            </w:r>
            <w:r>
              <w:rPr>
                <w:rFonts w:hint="eastAsia" w:ascii="宋体" w:hAnsi="宋体" w:cs="宋体"/>
                <w:color w:val="auto"/>
                <w:szCs w:val="22"/>
                <w:highlight w:val="none"/>
              </w:rPr>
              <w:t>缩短研究成果周期提高评估报告深度</w:t>
            </w:r>
            <w:r>
              <w:rPr>
                <w:rFonts w:hint="eastAsia" w:ascii="宋体" w:hAnsi="宋体" w:cs="宋体"/>
                <w:color w:val="auto"/>
                <w:szCs w:val="21"/>
                <w:highlight w:val="none"/>
              </w:rPr>
              <w:t>（3分）、b.减少釆购人工作量提高整体服务质量（3分）]</w:t>
            </w:r>
          </w:p>
          <w:p w14:paraId="76C966A6">
            <w:pPr>
              <w:spacing w:line="360" w:lineRule="auto"/>
              <w:rPr>
                <w:rFonts w:ascii="宋体" w:hAnsi="宋体"/>
                <w:color w:val="auto"/>
                <w:szCs w:val="21"/>
                <w:highlight w:val="none"/>
              </w:rPr>
            </w:pPr>
            <w:r>
              <w:rPr>
                <w:rFonts w:hint="eastAsia" w:ascii="宋体" w:hAnsi="宋体"/>
                <w:color w:val="auto"/>
                <w:szCs w:val="21"/>
                <w:highlight w:val="none"/>
              </w:rPr>
              <w:t>投标人应在投标文件中设置专节来对上述内容作出响应性说明，每缺一项说明扣相应分值，评标委员会根据项目的实施需求和各投标人提供的</w:t>
            </w:r>
            <w:r>
              <w:rPr>
                <w:rFonts w:hint="eastAsia" w:ascii="宋体" w:hAnsi="宋体" w:cs="宋体"/>
                <w:color w:val="auto"/>
                <w:kern w:val="2"/>
                <w:szCs w:val="21"/>
                <w:highlight w:val="none"/>
              </w:rPr>
              <w:t>合理化建议</w:t>
            </w:r>
            <w:r>
              <w:rPr>
                <w:rFonts w:hint="eastAsia" w:ascii="宋体" w:hAnsi="宋体"/>
                <w:color w:val="auto"/>
                <w:szCs w:val="21"/>
                <w:highlight w:val="none"/>
              </w:rPr>
              <w:t>进行综合打分：</w:t>
            </w:r>
          </w:p>
          <w:p w14:paraId="5308B7C7">
            <w:pPr>
              <w:spacing w:line="360" w:lineRule="auto"/>
              <w:jc w:val="left"/>
              <w:rPr>
                <w:rFonts w:ascii="宋体" w:hAnsi="宋体" w:cs="宋体"/>
                <w:color w:val="auto"/>
                <w:kern w:val="2"/>
                <w:szCs w:val="21"/>
                <w:highlight w:val="none"/>
              </w:rPr>
            </w:pPr>
            <w:r>
              <w:rPr>
                <w:rFonts w:hint="eastAsia" w:ascii="宋体" w:hAnsi="宋体" w:cs="宋体"/>
                <w:color w:val="auto"/>
                <w:kern w:val="2"/>
                <w:szCs w:val="21"/>
                <w:highlight w:val="none"/>
              </w:rPr>
              <w:t>每项内容完整、建议合理可行，综合评定较好得，打分区间3—2（不含）分；</w:t>
            </w:r>
          </w:p>
          <w:p w14:paraId="723CD621">
            <w:pPr>
              <w:spacing w:line="360" w:lineRule="auto"/>
              <w:jc w:val="left"/>
              <w:rPr>
                <w:rFonts w:ascii="宋体" w:hAnsi="宋体" w:cs="宋体"/>
                <w:color w:val="auto"/>
                <w:kern w:val="2"/>
                <w:szCs w:val="21"/>
                <w:highlight w:val="none"/>
              </w:rPr>
            </w:pPr>
            <w:r>
              <w:rPr>
                <w:rFonts w:hint="eastAsia" w:ascii="宋体" w:hAnsi="宋体" w:cs="宋体"/>
                <w:color w:val="auto"/>
                <w:kern w:val="2"/>
                <w:szCs w:val="21"/>
                <w:highlight w:val="none"/>
              </w:rPr>
              <w:t>内容基本完整、建议较为合理，综合评定一般得，打分区间2（含）—1（不含）分；</w:t>
            </w:r>
          </w:p>
          <w:p w14:paraId="5991AB09">
            <w:pPr>
              <w:spacing w:line="360" w:lineRule="auto"/>
              <w:jc w:val="left"/>
              <w:rPr>
                <w:rFonts w:ascii="宋体" w:hAnsi="宋体" w:cs="宋体"/>
                <w:color w:val="auto"/>
                <w:kern w:val="2"/>
                <w:szCs w:val="21"/>
                <w:highlight w:val="none"/>
              </w:rPr>
            </w:pPr>
            <w:r>
              <w:rPr>
                <w:rFonts w:hint="eastAsia" w:ascii="宋体" w:hAnsi="宋体" w:cs="宋体"/>
                <w:color w:val="auto"/>
                <w:kern w:val="2"/>
                <w:szCs w:val="21"/>
                <w:highlight w:val="none"/>
              </w:rPr>
              <w:t>每项内容不完整、建议可行性不足，综合评定差得，打分区间1（含）—0分。</w:t>
            </w:r>
          </w:p>
          <w:p w14:paraId="10B130DF">
            <w:pPr>
              <w:spacing w:line="360" w:lineRule="auto"/>
              <w:rPr>
                <w:rFonts w:ascii="宋体" w:hAnsi="宋体"/>
                <w:color w:val="auto"/>
                <w:szCs w:val="21"/>
                <w:highlight w:val="none"/>
              </w:rPr>
            </w:pPr>
            <w:r>
              <w:rPr>
                <w:rFonts w:hint="eastAsia" w:ascii="宋体" w:hAnsi="宋体" w:cs="宋体"/>
                <w:color w:val="auto"/>
                <w:kern w:val="2"/>
                <w:szCs w:val="21"/>
                <w:highlight w:val="none"/>
              </w:rPr>
              <w:t>未提供合理化建议的不得分。</w:t>
            </w:r>
          </w:p>
        </w:tc>
      </w:tr>
      <w:tr w14:paraId="7DA9C1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9" w:hRule="atLeast"/>
          <w:jc w:val="center"/>
        </w:trPr>
        <w:tc>
          <w:tcPr>
            <w:tcW w:w="917" w:type="dxa"/>
            <w:vMerge w:val="continue"/>
            <w:noWrap/>
            <w:vAlign w:val="center"/>
          </w:tcPr>
          <w:p w14:paraId="49B11FD4">
            <w:pPr>
              <w:spacing w:line="460" w:lineRule="exact"/>
              <w:jc w:val="center"/>
              <w:rPr>
                <w:rFonts w:ascii="宋体" w:hAnsi="宋体" w:cs="宋体"/>
                <w:color w:val="auto"/>
                <w:kern w:val="2"/>
                <w:szCs w:val="21"/>
                <w:highlight w:val="none"/>
              </w:rPr>
            </w:pPr>
          </w:p>
        </w:tc>
        <w:tc>
          <w:tcPr>
            <w:tcW w:w="1190" w:type="dxa"/>
            <w:noWrap/>
            <w:vAlign w:val="center"/>
          </w:tcPr>
          <w:p w14:paraId="5499F4E7">
            <w:pPr>
              <w:snapToGrid w:val="0"/>
              <w:spacing w:line="240" w:lineRule="auto"/>
              <w:jc w:val="center"/>
              <w:rPr>
                <w:rFonts w:ascii="宋体" w:hAnsi="宋体" w:cs="宋体"/>
                <w:color w:val="auto"/>
                <w:kern w:val="2"/>
                <w:szCs w:val="21"/>
                <w:highlight w:val="none"/>
              </w:rPr>
            </w:pPr>
            <w:r>
              <w:rPr>
                <w:rFonts w:hint="eastAsia" w:ascii="宋体" w:hAnsi="宋体" w:cs="宋体"/>
                <w:color w:val="auto"/>
                <w:szCs w:val="21"/>
                <w:highlight w:val="none"/>
              </w:rPr>
              <w:t>后续服务</w:t>
            </w:r>
          </w:p>
        </w:tc>
        <w:tc>
          <w:tcPr>
            <w:tcW w:w="531" w:type="dxa"/>
            <w:noWrap/>
            <w:vAlign w:val="center"/>
          </w:tcPr>
          <w:p w14:paraId="6B7D8E94">
            <w:pPr>
              <w:spacing w:line="460" w:lineRule="exact"/>
              <w:jc w:val="center"/>
              <w:rPr>
                <w:rFonts w:ascii="宋体" w:hAnsi="宋体" w:cs="宋体"/>
                <w:color w:val="auto"/>
                <w:kern w:val="2"/>
                <w:szCs w:val="21"/>
                <w:highlight w:val="none"/>
              </w:rPr>
            </w:pPr>
            <w:r>
              <w:rPr>
                <w:rFonts w:hint="eastAsia" w:ascii="宋体" w:hAnsi="宋体" w:cs="宋体"/>
                <w:color w:val="auto"/>
                <w:kern w:val="2"/>
                <w:szCs w:val="21"/>
                <w:highlight w:val="none"/>
              </w:rPr>
              <w:t>15</w:t>
            </w:r>
          </w:p>
        </w:tc>
        <w:tc>
          <w:tcPr>
            <w:tcW w:w="6964" w:type="dxa"/>
            <w:noWrap/>
            <w:vAlign w:val="center"/>
          </w:tcPr>
          <w:p w14:paraId="7059891C">
            <w:pPr>
              <w:spacing w:line="360" w:lineRule="auto"/>
              <w:jc w:val="left"/>
              <w:rPr>
                <w:rFonts w:ascii="宋体" w:hAnsi="宋体" w:cs="宋体"/>
                <w:color w:val="auto"/>
                <w:szCs w:val="21"/>
                <w:highlight w:val="none"/>
              </w:rPr>
            </w:pPr>
            <w:r>
              <w:rPr>
                <w:rFonts w:hint="eastAsia" w:ascii="宋体" w:hAnsi="宋体" w:cs="宋体"/>
                <w:color w:val="auto"/>
                <w:szCs w:val="21"/>
                <w:highlight w:val="none"/>
              </w:rPr>
              <w:t>投标人提供后续服务[a.后续服务承诺及服务响应速度（5分）、b.后续服务质量</w:t>
            </w:r>
            <w:r>
              <w:rPr>
                <w:rFonts w:hint="eastAsia" w:ascii="宋体" w:hAnsi="宋体" w:cs="宋体"/>
                <w:color w:val="auto"/>
                <w:szCs w:val="21"/>
                <w:highlight w:val="none"/>
                <w:lang w:bidi="ar"/>
              </w:rPr>
              <w:t>保障措施</w:t>
            </w:r>
            <w:r>
              <w:rPr>
                <w:rFonts w:hint="eastAsia" w:ascii="宋体" w:hAnsi="宋体" w:cs="宋体"/>
                <w:color w:val="auto"/>
                <w:szCs w:val="21"/>
                <w:highlight w:val="none"/>
              </w:rPr>
              <w:t>（5分）、c.</w:t>
            </w:r>
            <w:r>
              <w:rPr>
                <w:rFonts w:hint="eastAsia" w:ascii="宋体" w:hAnsi="宋体" w:cs="宋体"/>
                <w:color w:val="auto"/>
                <w:szCs w:val="21"/>
                <w:highlight w:val="none"/>
                <w:lang w:bidi="ar"/>
              </w:rPr>
              <w:t>技术与服务支持</w:t>
            </w:r>
            <w:r>
              <w:rPr>
                <w:rFonts w:hint="eastAsia" w:ascii="宋体" w:hAnsi="宋体" w:cs="宋体"/>
                <w:color w:val="auto"/>
                <w:szCs w:val="21"/>
                <w:highlight w:val="none"/>
              </w:rPr>
              <w:t>（5分）]</w:t>
            </w:r>
          </w:p>
          <w:p w14:paraId="3443FE05">
            <w:pPr>
              <w:snapToGrid w:val="0"/>
              <w:spacing w:line="360" w:lineRule="auto"/>
              <w:rPr>
                <w:rFonts w:ascii="宋体" w:hAnsi="宋体"/>
                <w:color w:val="auto"/>
                <w:szCs w:val="21"/>
                <w:highlight w:val="none"/>
              </w:rPr>
            </w:pPr>
            <w:r>
              <w:rPr>
                <w:rFonts w:hint="eastAsia" w:ascii="宋体" w:hAnsi="宋体"/>
                <w:color w:val="auto"/>
                <w:szCs w:val="21"/>
                <w:highlight w:val="none"/>
              </w:rPr>
              <w:t>投标人应在投标文件中设置专节来对上述内容作出响应性说明，每缺一项说明扣相应分值，评标委员会根据项目的实施需求和各投标人提供的</w:t>
            </w:r>
            <w:r>
              <w:rPr>
                <w:rFonts w:hint="eastAsia" w:ascii="宋体" w:hAnsi="宋体" w:cs="宋体"/>
                <w:color w:val="auto"/>
                <w:szCs w:val="21"/>
                <w:highlight w:val="none"/>
              </w:rPr>
              <w:t>后续服务</w:t>
            </w:r>
            <w:r>
              <w:rPr>
                <w:rFonts w:hint="eastAsia" w:ascii="宋体" w:hAnsi="宋体"/>
                <w:color w:val="auto"/>
                <w:szCs w:val="21"/>
                <w:highlight w:val="none"/>
              </w:rPr>
              <w:t>进行综合打分：</w:t>
            </w:r>
          </w:p>
          <w:p w14:paraId="3EA4A6A2">
            <w:pPr>
              <w:spacing w:line="360" w:lineRule="auto"/>
              <w:jc w:val="left"/>
              <w:rPr>
                <w:rFonts w:ascii="宋体" w:hAnsi="宋体" w:cs="宋体"/>
                <w:color w:val="auto"/>
                <w:szCs w:val="21"/>
                <w:highlight w:val="none"/>
              </w:rPr>
            </w:pPr>
            <w:r>
              <w:rPr>
                <w:rFonts w:hint="eastAsia" w:ascii="宋体" w:hAnsi="宋体" w:cs="宋体"/>
                <w:color w:val="auto"/>
                <w:kern w:val="2"/>
                <w:szCs w:val="21"/>
                <w:highlight w:val="none"/>
              </w:rPr>
              <w:t>每项</w:t>
            </w:r>
            <w:r>
              <w:rPr>
                <w:rFonts w:hint="eastAsia" w:ascii="宋体" w:hAnsi="宋体" w:cs="宋体"/>
                <w:color w:val="auto"/>
                <w:szCs w:val="21"/>
                <w:highlight w:val="none"/>
              </w:rPr>
              <w:t>内容完整、方案合理可行，综合评定较好得，打分区间5—3（不含）分；</w:t>
            </w:r>
          </w:p>
          <w:p w14:paraId="4580EA10">
            <w:pPr>
              <w:spacing w:line="360" w:lineRule="auto"/>
              <w:jc w:val="left"/>
              <w:rPr>
                <w:rFonts w:ascii="宋体" w:hAnsi="宋体" w:cs="宋体"/>
                <w:color w:val="auto"/>
                <w:szCs w:val="21"/>
                <w:highlight w:val="none"/>
              </w:rPr>
            </w:pPr>
            <w:r>
              <w:rPr>
                <w:rFonts w:hint="eastAsia" w:ascii="宋体" w:hAnsi="宋体" w:cs="宋体"/>
                <w:color w:val="auto"/>
                <w:kern w:val="2"/>
                <w:szCs w:val="21"/>
                <w:highlight w:val="none"/>
              </w:rPr>
              <w:t>每项</w:t>
            </w:r>
            <w:r>
              <w:rPr>
                <w:rFonts w:hint="eastAsia" w:ascii="宋体" w:hAnsi="宋体" w:cs="宋体"/>
                <w:color w:val="auto"/>
                <w:szCs w:val="21"/>
                <w:highlight w:val="none"/>
              </w:rPr>
              <w:t>内容基本完整、方案较为合理，综合评定一般得，打分区间3（含）—1（不含）分；</w:t>
            </w:r>
          </w:p>
          <w:p w14:paraId="5AE4FA76">
            <w:pPr>
              <w:spacing w:line="360" w:lineRule="auto"/>
              <w:jc w:val="left"/>
              <w:rPr>
                <w:rFonts w:ascii="宋体" w:hAnsi="宋体" w:cs="宋体"/>
                <w:color w:val="auto"/>
                <w:szCs w:val="21"/>
                <w:highlight w:val="none"/>
              </w:rPr>
            </w:pPr>
            <w:r>
              <w:rPr>
                <w:rFonts w:hint="eastAsia" w:ascii="宋体" w:hAnsi="宋体" w:cs="宋体"/>
                <w:color w:val="auto"/>
                <w:kern w:val="2"/>
                <w:szCs w:val="21"/>
                <w:highlight w:val="none"/>
              </w:rPr>
              <w:t>每项</w:t>
            </w:r>
            <w:r>
              <w:rPr>
                <w:rFonts w:hint="eastAsia" w:ascii="宋体" w:hAnsi="宋体" w:cs="宋体"/>
                <w:color w:val="auto"/>
                <w:szCs w:val="21"/>
                <w:highlight w:val="none"/>
              </w:rPr>
              <w:t>内容不完整、方案可行性不足，综合评定差得，打分区间1（含）—0分。</w:t>
            </w:r>
          </w:p>
          <w:p w14:paraId="171E2DBA">
            <w:pPr>
              <w:snapToGrid w:val="0"/>
              <w:spacing w:line="360" w:lineRule="auto"/>
              <w:rPr>
                <w:rFonts w:ascii="宋体" w:hAnsi="宋体"/>
                <w:color w:val="auto"/>
                <w:szCs w:val="21"/>
                <w:highlight w:val="none"/>
              </w:rPr>
            </w:pPr>
            <w:r>
              <w:rPr>
                <w:rFonts w:hint="eastAsia" w:ascii="宋体" w:hAnsi="宋体" w:cs="宋体"/>
                <w:color w:val="auto"/>
                <w:szCs w:val="21"/>
                <w:highlight w:val="none"/>
              </w:rPr>
              <w:t>未提供后续服务方案的不得分。</w:t>
            </w:r>
          </w:p>
        </w:tc>
      </w:tr>
      <w:tr w14:paraId="7732B5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06" w:hRule="atLeast"/>
          <w:jc w:val="center"/>
        </w:trPr>
        <w:tc>
          <w:tcPr>
            <w:tcW w:w="917" w:type="dxa"/>
            <w:vMerge w:val="restart"/>
            <w:noWrap/>
            <w:vAlign w:val="center"/>
          </w:tcPr>
          <w:p w14:paraId="14A7D08E">
            <w:pPr>
              <w:spacing w:line="240" w:lineRule="auto"/>
              <w:jc w:val="center"/>
              <w:rPr>
                <w:rFonts w:ascii="宋体" w:hAnsi="宋体" w:cs="宋体"/>
                <w:color w:val="auto"/>
                <w:kern w:val="2"/>
                <w:szCs w:val="21"/>
                <w:highlight w:val="none"/>
              </w:rPr>
            </w:pPr>
            <w:r>
              <w:rPr>
                <w:rFonts w:hint="eastAsia" w:ascii="宋体" w:hAnsi="宋体" w:cs="宋体"/>
                <w:color w:val="auto"/>
                <w:kern w:val="2"/>
                <w:szCs w:val="21"/>
                <w:highlight w:val="none"/>
              </w:rPr>
              <w:t>商务</w:t>
            </w:r>
          </w:p>
          <w:p w14:paraId="25A5664B">
            <w:pPr>
              <w:spacing w:line="240" w:lineRule="auto"/>
              <w:jc w:val="center"/>
              <w:rPr>
                <w:rFonts w:ascii="宋体" w:hAnsi="宋体" w:cs="宋体"/>
                <w:color w:val="auto"/>
                <w:kern w:val="2"/>
                <w:szCs w:val="21"/>
                <w:highlight w:val="none"/>
              </w:rPr>
            </w:pPr>
            <w:r>
              <w:rPr>
                <w:rFonts w:hint="eastAsia" w:ascii="宋体" w:hAnsi="宋体" w:cs="宋体"/>
                <w:color w:val="auto"/>
                <w:kern w:val="2"/>
                <w:szCs w:val="21"/>
                <w:highlight w:val="none"/>
              </w:rPr>
              <w:t>部分</w:t>
            </w:r>
          </w:p>
        </w:tc>
        <w:tc>
          <w:tcPr>
            <w:tcW w:w="1190" w:type="dxa"/>
            <w:vMerge w:val="restart"/>
            <w:noWrap/>
            <w:vAlign w:val="center"/>
          </w:tcPr>
          <w:p w14:paraId="3498E2D9">
            <w:pPr>
              <w:spacing w:line="460" w:lineRule="exact"/>
              <w:jc w:val="center"/>
              <w:rPr>
                <w:rFonts w:ascii="宋体" w:hAnsi="宋体" w:cs="宋体"/>
                <w:color w:val="auto"/>
                <w:szCs w:val="21"/>
                <w:highlight w:val="none"/>
              </w:rPr>
            </w:pPr>
            <w:r>
              <w:rPr>
                <w:rFonts w:hint="eastAsia" w:ascii="宋体" w:hAnsi="宋体" w:cs="宋体"/>
                <w:color w:val="auto"/>
                <w:szCs w:val="21"/>
                <w:highlight w:val="none"/>
              </w:rPr>
              <w:t>项目团队</w:t>
            </w:r>
          </w:p>
        </w:tc>
        <w:tc>
          <w:tcPr>
            <w:tcW w:w="531" w:type="dxa"/>
            <w:noWrap/>
            <w:vAlign w:val="center"/>
          </w:tcPr>
          <w:p w14:paraId="27CE023B">
            <w:pPr>
              <w:spacing w:line="460" w:lineRule="exact"/>
              <w:jc w:val="center"/>
              <w:rPr>
                <w:rFonts w:ascii="宋体" w:hAnsi="宋体" w:cs="宋体"/>
                <w:color w:val="auto"/>
                <w:kern w:val="2"/>
                <w:szCs w:val="21"/>
                <w:highlight w:val="none"/>
              </w:rPr>
            </w:pPr>
            <w:r>
              <w:rPr>
                <w:rFonts w:hint="eastAsia" w:ascii="宋体" w:hAnsi="宋体" w:cs="宋体"/>
                <w:color w:val="auto"/>
                <w:kern w:val="2"/>
                <w:szCs w:val="21"/>
                <w:highlight w:val="none"/>
              </w:rPr>
              <w:t>4</w:t>
            </w:r>
          </w:p>
        </w:tc>
        <w:tc>
          <w:tcPr>
            <w:tcW w:w="6964" w:type="dxa"/>
            <w:noWrap/>
            <w:vAlign w:val="center"/>
          </w:tcPr>
          <w:p w14:paraId="6818CC00">
            <w:pPr>
              <w:tabs>
                <w:tab w:val="left" w:pos="1544"/>
              </w:tabs>
              <w:snapToGrid w:val="0"/>
              <w:spacing w:line="360" w:lineRule="auto"/>
              <w:rPr>
                <w:rFonts w:ascii="宋体" w:hAnsi="宋体" w:cs="宋体"/>
                <w:bCs/>
                <w:color w:val="auto"/>
                <w:kern w:val="2"/>
                <w:szCs w:val="21"/>
                <w:highlight w:val="none"/>
              </w:rPr>
            </w:pPr>
            <w:r>
              <w:rPr>
                <w:rFonts w:hint="eastAsia" w:ascii="宋体" w:hAnsi="宋体" w:cs="宋体"/>
                <w:bCs/>
                <w:color w:val="auto"/>
                <w:kern w:val="2"/>
                <w:szCs w:val="21"/>
                <w:highlight w:val="none"/>
              </w:rPr>
              <w:t>针对本项目的项目负责人（1人）：本项最高得4分；</w:t>
            </w:r>
          </w:p>
          <w:p w14:paraId="0DE8BC34">
            <w:pPr>
              <w:tabs>
                <w:tab w:val="left" w:pos="1544"/>
              </w:tabs>
              <w:snapToGrid w:val="0"/>
              <w:spacing w:line="360" w:lineRule="auto"/>
              <w:rPr>
                <w:rFonts w:ascii="宋体" w:hAnsi="宋体" w:cs="宋体"/>
                <w:bCs/>
                <w:color w:val="auto"/>
                <w:kern w:val="2"/>
                <w:szCs w:val="21"/>
                <w:highlight w:val="none"/>
              </w:rPr>
            </w:pPr>
            <w:r>
              <w:rPr>
                <w:rFonts w:hint="eastAsia" w:ascii="宋体" w:hAnsi="宋体" w:cs="宋体"/>
                <w:bCs/>
                <w:color w:val="auto"/>
                <w:kern w:val="2"/>
                <w:szCs w:val="21"/>
                <w:highlight w:val="none"/>
              </w:rPr>
              <w:t>①项目负责人具有交通运输相关专业高级工程师职称得1分，具有交通运输相关专业正高级工程师(含研究员级)职称得2分；本项最高得2分。</w:t>
            </w:r>
          </w:p>
          <w:p w14:paraId="2917240D">
            <w:pPr>
              <w:tabs>
                <w:tab w:val="left" w:pos="1544"/>
              </w:tabs>
              <w:snapToGrid w:val="0"/>
              <w:spacing w:line="360" w:lineRule="auto"/>
              <w:rPr>
                <w:rFonts w:ascii="宋体" w:hAnsi="宋体" w:cs="宋体"/>
                <w:bCs/>
                <w:color w:val="auto"/>
                <w:kern w:val="2"/>
                <w:szCs w:val="21"/>
                <w:highlight w:val="none"/>
              </w:rPr>
            </w:pPr>
            <w:r>
              <w:rPr>
                <w:rFonts w:hint="eastAsia" w:ascii="宋体" w:hAnsi="宋体" w:cs="宋体"/>
                <w:bCs/>
                <w:color w:val="auto"/>
                <w:kern w:val="2"/>
                <w:szCs w:val="21"/>
                <w:highlight w:val="none"/>
              </w:rPr>
              <w:t>②项目负责人具备注册咨询工程师执业资格得2分；本项最高得2分。</w:t>
            </w:r>
          </w:p>
          <w:p w14:paraId="393780D6">
            <w:pPr>
              <w:tabs>
                <w:tab w:val="left" w:pos="1544"/>
              </w:tabs>
              <w:snapToGrid w:val="0"/>
              <w:spacing w:line="360" w:lineRule="auto"/>
              <w:rPr>
                <w:rFonts w:ascii="宋体" w:hAnsi="宋体" w:cs="宋体"/>
                <w:b/>
                <w:color w:val="auto"/>
                <w:kern w:val="2"/>
                <w:szCs w:val="21"/>
                <w:highlight w:val="none"/>
              </w:rPr>
            </w:pPr>
            <w:r>
              <w:rPr>
                <w:rFonts w:hint="eastAsia" w:ascii="宋体" w:hAnsi="宋体" w:cs="宋体"/>
                <w:bCs/>
                <w:color w:val="auto"/>
                <w:kern w:val="2"/>
                <w:szCs w:val="21"/>
                <w:highlight w:val="none"/>
              </w:rPr>
              <w:t>注：以提供项目负责人相关证书的扫描件及投标人为其自本项目投标截止之日起（当月不算）近半年内任意连续2个月缴纳社保的证明材料或退休返聘证明扫描件并加盖投标人作为评分依据。</w:t>
            </w:r>
          </w:p>
        </w:tc>
      </w:tr>
      <w:tr w14:paraId="7109A0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98" w:hRule="atLeast"/>
          <w:jc w:val="center"/>
        </w:trPr>
        <w:tc>
          <w:tcPr>
            <w:tcW w:w="917" w:type="dxa"/>
            <w:vMerge w:val="continue"/>
            <w:noWrap/>
            <w:vAlign w:val="center"/>
          </w:tcPr>
          <w:p w14:paraId="0294847E">
            <w:pPr>
              <w:spacing w:line="240" w:lineRule="auto"/>
              <w:jc w:val="center"/>
              <w:rPr>
                <w:rFonts w:ascii="宋体" w:hAnsi="宋体" w:cs="宋体"/>
                <w:color w:val="auto"/>
                <w:kern w:val="2"/>
                <w:szCs w:val="21"/>
                <w:highlight w:val="none"/>
              </w:rPr>
            </w:pPr>
          </w:p>
        </w:tc>
        <w:tc>
          <w:tcPr>
            <w:tcW w:w="1190" w:type="dxa"/>
            <w:vMerge w:val="continue"/>
            <w:noWrap/>
            <w:vAlign w:val="center"/>
          </w:tcPr>
          <w:p w14:paraId="02772916">
            <w:pPr>
              <w:spacing w:line="460" w:lineRule="exact"/>
              <w:jc w:val="center"/>
              <w:rPr>
                <w:rFonts w:ascii="宋体" w:hAnsi="宋体" w:cs="宋体"/>
                <w:color w:val="auto"/>
                <w:szCs w:val="21"/>
                <w:highlight w:val="none"/>
              </w:rPr>
            </w:pPr>
          </w:p>
        </w:tc>
        <w:tc>
          <w:tcPr>
            <w:tcW w:w="531" w:type="dxa"/>
            <w:noWrap/>
            <w:vAlign w:val="center"/>
          </w:tcPr>
          <w:p w14:paraId="3743429C">
            <w:pPr>
              <w:spacing w:line="460" w:lineRule="exact"/>
              <w:jc w:val="center"/>
              <w:rPr>
                <w:rFonts w:ascii="宋体" w:hAnsi="宋体" w:cs="宋体"/>
                <w:color w:val="auto"/>
                <w:kern w:val="2"/>
                <w:szCs w:val="21"/>
                <w:highlight w:val="none"/>
              </w:rPr>
            </w:pPr>
            <w:r>
              <w:rPr>
                <w:rFonts w:hint="eastAsia" w:ascii="宋体" w:hAnsi="宋体" w:cs="宋体"/>
                <w:color w:val="auto"/>
                <w:kern w:val="2"/>
                <w:szCs w:val="21"/>
                <w:highlight w:val="none"/>
              </w:rPr>
              <w:t>6</w:t>
            </w:r>
          </w:p>
        </w:tc>
        <w:tc>
          <w:tcPr>
            <w:tcW w:w="6964" w:type="dxa"/>
            <w:noWrap/>
            <w:vAlign w:val="center"/>
          </w:tcPr>
          <w:p w14:paraId="6211E2E8">
            <w:pPr>
              <w:snapToGrid w:val="0"/>
              <w:spacing w:line="360" w:lineRule="auto"/>
              <w:rPr>
                <w:rFonts w:ascii="宋体" w:hAnsi="宋体" w:cs="宋体"/>
                <w:bCs/>
                <w:color w:val="auto"/>
                <w:kern w:val="2"/>
                <w:szCs w:val="21"/>
                <w:highlight w:val="none"/>
              </w:rPr>
            </w:pPr>
            <w:r>
              <w:rPr>
                <w:rFonts w:hint="eastAsia" w:ascii="宋体" w:hAnsi="宋体" w:cs="宋体"/>
                <w:bCs/>
                <w:color w:val="auto"/>
                <w:kern w:val="2"/>
                <w:szCs w:val="21"/>
                <w:highlight w:val="none"/>
              </w:rPr>
              <w:t>针对本项目的项目组成员（项目负责人除外）：</w:t>
            </w:r>
          </w:p>
          <w:p w14:paraId="5B00379B">
            <w:pPr>
              <w:snapToGrid w:val="0"/>
              <w:spacing w:line="360" w:lineRule="auto"/>
              <w:rPr>
                <w:rFonts w:ascii="宋体" w:hAnsi="宋体" w:cs="宋体"/>
                <w:bCs/>
                <w:color w:val="auto"/>
                <w:kern w:val="2"/>
                <w:szCs w:val="21"/>
                <w:highlight w:val="none"/>
              </w:rPr>
            </w:pPr>
            <w:r>
              <w:rPr>
                <w:rFonts w:hint="eastAsia" w:ascii="宋体" w:hAnsi="宋体" w:cs="宋体"/>
                <w:bCs/>
                <w:color w:val="auto"/>
                <w:kern w:val="2"/>
                <w:szCs w:val="21"/>
                <w:highlight w:val="none"/>
              </w:rPr>
              <w:t>项目组成员中具有交通运输相关专业高级工程师及以上职称的有1人得1分，具备注册咨询工程师执业资格的有1人得1分；本项最高得6分。（可同一人累计加分）</w:t>
            </w:r>
          </w:p>
          <w:p w14:paraId="0E9E3272">
            <w:pPr>
              <w:snapToGrid w:val="0"/>
              <w:spacing w:line="360" w:lineRule="auto"/>
              <w:rPr>
                <w:rFonts w:ascii="宋体" w:hAnsi="宋体" w:cs="宋体"/>
                <w:b/>
                <w:color w:val="auto"/>
                <w:kern w:val="2"/>
                <w:szCs w:val="21"/>
                <w:highlight w:val="none"/>
              </w:rPr>
            </w:pPr>
            <w:r>
              <w:rPr>
                <w:rFonts w:hint="eastAsia" w:ascii="宋体" w:hAnsi="宋体" w:cs="宋体"/>
                <w:color w:val="auto"/>
                <w:kern w:val="2"/>
                <w:szCs w:val="21"/>
                <w:highlight w:val="none"/>
              </w:rPr>
              <w:t>注：以提供</w:t>
            </w:r>
            <w:r>
              <w:rPr>
                <w:rFonts w:hint="eastAsia" w:ascii="宋体" w:hAnsi="宋体" w:cs="宋体"/>
                <w:bCs/>
                <w:color w:val="auto"/>
                <w:kern w:val="2"/>
                <w:szCs w:val="21"/>
                <w:highlight w:val="none"/>
              </w:rPr>
              <w:t>项目组成员（项目负责人除外）</w:t>
            </w:r>
            <w:r>
              <w:rPr>
                <w:rFonts w:hint="eastAsia" w:ascii="宋体" w:hAnsi="宋体" w:cs="宋体"/>
                <w:color w:val="auto"/>
                <w:kern w:val="2"/>
                <w:szCs w:val="21"/>
                <w:highlight w:val="none"/>
              </w:rPr>
              <w:t>相关证书的扫描件及投标人为其</w:t>
            </w:r>
            <w:r>
              <w:rPr>
                <w:rFonts w:hint="eastAsia" w:ascii="宋体" w:hAnsi="宋体" w:cs="宋体"/>
                <w:bCs/>
                <w:color w:val="auto"/>
                <w:kern w:val="2"/>
                <w:szCs w:val="21"/>
                <w:highlight w:val="none"/>
              </w:rPr>
              <w:t>自本项目投标截止之日起（当月不算）</w:t>
            </w:r>
            <w:r>
              <w:rPr>
                <w:rFonts w:hint="eastAsia" w:ascii="宋体" w:hAnsi="宋体" w:cs="宋体"/>
                <w:color w:val="auto"/>
                <w:szCs w:val="21"/>
                <w:highlight w:val="none"/>
              </w:rPr>
              <w:t>近半年内任意连续2个月</w:t>
            </w:r>
            <w:r>
              <w:rPr>
                <w:rFonts w:hint="eastAsia" w:ascii="宋体" w:hAnsi="宋体" w:cs="宋体"/>
                <w:bCs/>
                <w:color w:val="auto"/>
                <w:kern w:val="2"/>
                <w:szCs w:val="21"/>
                <w:highlight w:val="none"/>
              </w:rPr>
              <w:t>缴纳社保的证明材料</w:t>
            </w:r>
            <w:r>
              <w:rPr>
                <w:rFonts w:hint="eastAsia" w:ascii="宋体" w:hAnsi="宋体" w:cs="宋体"/>
                <w:color w:val="auto"/>
                <w:kern w:val="2"/>
                <w:szCs w:val="21"/>
                <w:highlight w:val="none"/>
              </w:rPr>
              <w:t>或退休返聘证明</w:t>
            </w:r>
            <w:r>
              <w:rPr>
                <w:rFonts w:hint="eastAsia" w:ascii="宋体" w:hAnsi="宋体" w:cs="宋体"/>
                <w:bCs/>
                <w:color w:val="auto"/>
                <w:kern w:val="2"/>
                <w:szCs w:val="21"/>
                <w:highlight w:val="none"/>
              </w:rPr>
              <w:t>扫描件并加盖投标人作为评分依据。</w:t>
            </w:r>
          </w:p>
        </w:tc>
      </w:tr>
      <w:tr w14:paraId="306F58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19" w:hRule="atLeast"/>
          <w:jc w:val="center"/>
        </w:trPr>
        <w:tc>
          <w:tcPr>
            <w:tcW w:w="917" w:type="dxa"/>
            <w:vMerge w:val="continue"/>
            <w:noWrap/>
            <w:vAlign w:val="center"/>
          </w:tcPr>
          <w:p w14:paraId="1C1ABEBD">
            <w:pPr>
              <w:spacing w:line="240" w:lineRule="auto"/>
              <w:jc w:val="center"/>
              <w:rPr>
                <w:rFonts w:ascii="宋体" w:hAnsi="宋体" w:cs="宋体"/>
                <w:color w:val="auto"/>
                <w:kern w:val="2"/>
                <w:szCs w:val="21"/>
                <w:highlight w:val="none"/>
              </w:rPr>
            </w:pPr>
          </w:p>
        </w:tc>
        <w:tc>
          <w:tcPr>
            <w:tcW w:w="1190" w:type="dxa"/>
            <w:noWrap/>
            <w:vAlign w:val="center"/>
          </w:tcPr>
          <w:p w14:paraId="5685342B">
            <w:pPr>
              <w:spacing w:line="460" w:lineRule="exact"/>
              <w:jc w:val="center"/>
              <w:rPr>
                <w:rFonts w:ascii="宋体" w:hAnsi="宋体" w:cs="宋体"/>
                <w:color w:val="auto"/>
                <w:szCs w:val="21"/>
                <w:highlight w:val="none"/>
              </w:rPr>
            </w:pPr>
            <w:r>
              <w:rPr>
                <w:rFonts w:hint="eastAsia" w:ascii="宋体" w:hAnsi="宋体" w:cs="宋体"/>
                <w:color w:val="auto"/>
                <w:szCs w:val="21"/>
                <w:highlight w:val="none"/>
              </w:rPr>
              <w:t>业绩</w:t>
            </w:r>
          </w:p>
        </w:tc>
        <w:tc>
          <w:tcPr>
            <w:tcW w:w="531" w:type="dxa"/>
            <w:noWrap/>
            <w:vAlign w:val="center"/>
          </w:tcPr>
          <w:p w14:paraId="5CA62F8A">
            <w:pPr>
              <w:spacing w:line="460" w:lineRule="exact"/>
              <w:jc w:val="center"/>
              <w:rPr>
                <w:rFonts w:ascii="宋体" w:hAnsi="宋体" w:cs="宋体"/>
                <w:color w:val="auto"/>
                <w:kern w:val="2"/>
                <w:szCs w:val="21"/>
                <w:highlight w:val="none"/>
              </w:rPr>
            </w:pPr>
            <w:r>
              <w:rPr>
                <w:rFonts w:hint="eastAsia" w:ascii="宋体" w:hAnsi="宋体" w:cs="宋体"/>
                <w:color w:val="auto"/>
                <w:kern w:val="2"/>
                <w:szCs w:val="21"/>
                <w:highlight w:val="none"/>
              </w:rPr>
              <w:t>6</w:t>
            </w:r>
          </w:p>
        </w:tc>
        <w:tc>
          <w:tcPr>
            <w:tcW w:w="6964" w:type="dxa"/>
            <w:noWrap/>
            <w:vAlign w:val="center"/>
          </w:tcPr>
          <w:p w14:paraId="5A198200">
            <w:pPr>
              <w:snapToGrid w:val="0"/>
              <w:spacing w:line="360" w:lineRule="auto"/>
              <w:rPr>
                <w:rFonts w:ascii="宋体" w:hAnsi="宋体" w:cs="宋体"/>
                <w:bCs/>
                <w:color w:val="auto"/>
                <w:kern w:val="2"/>
                <w:szCs w:val="21"/>
                <w:highlight w:val="none"/>
              </w:rPr>
            </w:pPr>
            <w:r>
              <w:rPr>
                <w:rFonts w:hint="eastAsia" w:ascii="宋体" w:hAnsi="宋体" w:cs="宋体"/>
                <w:bCs/>
                <w:color w:val="auto"/>
                <w:kern w:val="2"/>
                <w:szCs w:val="21"/>
                <w:highlight w:val="none"/>
              </w:rPr>
              <w:t>投标人提供自2020年1月1日至今承担过省级及以上综合交通运输发展规划编制</w:t>
            </w:r>
            <w:r>
              <w:rPr>
                <w:rFonts w:ascii="宋体" w:hAnsi="宋体" w:cs="宋体"/>
                <w:bCs/>
                <w:color w:val="auto"/>
                <w:kern w:val="2"/>
                <w:szCs w:val="21"/>
                <w:highlight w:val="none"/>
              </w:rPr>
              <w:t>项目</w:t>
            </w:r>
            <w:r>
              <w:rPr>
                <w:rFonts w:hint="eastAsia" w:ascii="宋体" w:hAnsi="宋体" w:cs="宋体"/>
                <w:bCs/>
                <w:color w:val="auto"/>
                <w:kern w:val="2"/>
                <w:szCs w:val="21"/>
                <w:highlight w:val="none"/>
              </w:rPr>
              <w:t>的，每提供一个得</w:t>
            </w:r>
            <w:r>
              <w:rPr>
                <w:rFonts w:ascii="宋体" w:hAnsi="宋体" w:cs="宋体"/>
                <w:bCs/>
                <w:color w:val="auto"/>
                <w:kern w:val="2"/>
                <w:szCs w:val="21"/>
                <w:highlight w:val="none"/>
              </w:rPr>
              <w:t>3</w:t>
            </w:r>
            <w:r>
              <w:rPr>
                <w:rFonts w:hint="eastAsia" w:ascii="宋体" w:hAnsi="宋体" w:cs="宋体"/>
                <w:bCs/>
                <w:color w:val="auto"/>
                <w:kern w:val="2"/>
                <w:szCs w:val="21"/>
                <w:highlight w:val="none"/>
              </w:rPr>
              <w:t>分；承担过地市级综合交通运输发展规划编制</w:t>
            </w:r>
            <w:r>
              <w:rPr>
                <w:rFonts w:ascii="宋体" w:hAnsi="宋体" w:cs="宋体"/>
                <w:bCs/>
                <w:color w:val="auto"/>
                <w:kern w:val="2"/>
                <w:szCs w:val="21"/>
                <w:highlight w:val="none"/>
              </w:rPr>
              <w:t>项目</w:t>
            </w:r>
            <w:r>
              <w:rPr>
                <w:rFonts w:hint="eastAsia" w:ascii="宋体" w:hAnsi="宋体" w:cs="宋体"/>
                <w:bCs/>
                <w:color w:val="auto"/>
                <w:kern w:val="2"/>
                <w:szCs w:val="21"/>
                <w:highlight w:val="none"/>
              </w:rPr>
              <w:t>的，每提供一个得</w:t>
            </w:r>
            <w:r>
              <w:rPr>
                <w:rFonts w:ascii="宋体" w:hAnsi="宋体" w:cs="宋体"/>
                <w:bCs/>
                <w:color w:val="auto"/>
                <w:kern w:val="2"/>
                <w:szCs w:val="21"/>
                <w:highlight w:val="none"/>
              </w:rPr>
              <w:t>2</w:t>
            </w:r>
            <w:r>
              <w:rPr>
                <w:rFonts w:hint="eastAsia" w:ascii="宋体" w:hAnsi="宋体" w:cs="宋体"/>
                <w:bCs/>
                <w:color w:val="auto"/>
                <w:kern w:val="2"/>
                <w:szCs w:val="21"/>
                <w:highlight w:val="none"/>
              </w:rPr>
              <w:t>分</w:t>
            </w:r>
            <w:r>
              <w:rPr>
                <w:rFonts w:hint="eastAsia"/>
                <w:color w:val="auto"/>
                <w:highlight w:val="none"/>
              </w:rPr>
              <w:t xml:space="preserve"> </w:t>
            </w:r>
            <w:r>
              <w:rPr>
                <w:rFonts w:hint="eastAsia" w:ascii="宋体" w:hAnsi="宋体" w:cs="宋体"/>
                <w:bCs/>
                <w:color w:val="auto"/>
                <w:kern w:val="2"/>
                <w:szCs w:val="21"/>
                <w:highlight w:val="none"/>
              </w:rPr>
              <w:t>；承担过区县级综合交通运输发展规划编制</w:t>
            </w:r>
            <w:r>
              <w:rPr>
                <w:rFonts w:ascii="宋体" w:hAnsi="宋体" w:cs="宋体"/>
                <w:bCs/>
                <w:color w:val="auto"/>
                <w:kern w:val="2"/>
                <w:szCs w:val="21"/>
                <w:highlight w:val="none"/>
              </w:rPr>
              <w:t>项目</w:t>
            </w:r>
            <w:r>
              <w:rPr>
                <w:rFonts w:hint="eastAsia" w:ascii="宋体" w:hAnsi="宋体" w:cs="宋体"/>
                <w:bCs/>
                <w:color w:val="auto"/>
                <w:kern w:val="2"/>
                <w:szCs w:val="21"/>
                <w:highlight w:val="none"/>
              </w:rPr>
              <w:t>的，每提供一个得1分],本项最高得分6分。</w:t>
            </w:r>
          </w:p>
          <w:p w14:paraId="3073B94C">
            <w:pPr>
              <w:snapToGrid w:val="0"/>
              <w:spacing w:line="360" w:lineRule="auto"/>
              <w:rPr>
                <w:rFonts w:ascii="宋体" w:hAnsi="宋体" w:cs="宋体"/>
                <w:bCs/>
                <w:color w:val="auto"/>
                <w:kern w:val="2"/>
                <w:szCs w:val="21"/>
                <w:highlight w:val="none"/>
              </w:rPr>
            </w:pPr>
            <w:r>
              <w:rPr>
                <w:rFonts w:hint="eastAsia" w:ascii="宋体" w:hAnsi="宋体" w:cs="宋体"/>
                <w:bCs/>
                <w:color w:val="auto"/>
                <w:kern w:val="2"/>
                <w:szCs w:val="21"/>
                <w:highlight w:val="none"/>
              </w:rPr>
              <w:t>注：投标文件中需提供完整的合同扫描件，时间以合同签订日期为准；提供不全或无法认定的，此项不得分。</w:t>
            </w:r>
          </w:p>
        </w:tc>
      </w:tr>
      <w:tr w14:paraId="0628D5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77" w:hRule="atLeast"/>
          <w:jc w:val="center"/>
        </w:trPr>
        <w:tc>
          <w:tcPr>
            <w:tcW w:w="917" w:type="dxa"/>
            <w:vMerge w:val="continue"/>
            <w:noWrap/>
            <w:vAlign w:val="center"/>
          </w:tcPr>
          <w:p w14:paraId="0A556C87">
            <w:pPr>
              <w:spacing w:line="240" w:lineRule="auto"/>
              <w:jc w:val="center"/>
              <w:rPr>
                <w:rFonts w:ascii="宋体" w:hAnsi="宋体" w:cs="宋体"/>
                <w:color w:val="auto"/>
                <w:kern w:val="2"/>
                <w:szCs w:val="21"/>
                <w:highlight w:val="none"/>
              </w:rPr>
            </w:pPr>
          </w:p>
        </w:tc>
        <w:tc>
          <w:tcPr>
            <w:tcW w:w="1190" w:type="dxa"/>
            <w:noWrap/>
            <w:vAlign w:val="center"/>
          </w:tcPr>
          <w:p w14:paraId="13AF06B8">
            <w:pPr>
              <w:spacing w:line="460" w:lineRule="exact"/>
              <w:jc w:val="center"/>
              <w:rPr>
                <w:rFonts w:hint="eastAsia" w:ascii="宋体" w:hAnsi="宋体" w:eastAsia="宋体" w:cs="宋体"/>
                <w:color w:val="auto"/>
                <w:szCs w:val="21"/>
                <w:highlight w:val="none"/>
                <w:lang w:eastAsia="zh-CN"/>
              </w:rPr>
            </w:pPr>
            <w:r>
              <w:rPr>
                <w:rFonts w:hint="eastAsia" w:ascii="宋体" w:hAnsi="宋体" w:cs="宋体"/>
                <w:color w:val="auto"/>
                <w:szCs w:val="21"/>
                <w:highlight w:val="none"/>
                <w:lang w:val="en-US" w:eastAsia="zh-CN"/>
              </w:rPr>
              <w:t>奖项</w:t>
            </w:r>
          </w:p>
        </w:tc>
        <w:tc>
          <w:tcPr>
            <w:tcW w:w="531" w:type="dxa"/>
            <w:noWrap/>
            <w:vAlign w:val="center"/>
          </w:tcPr>
          <w:p w14:paraId="49AB0FF0">
            <w:pPr>
              <w:spacing w:line="460" w:lineRule="exact"/>
              <w:jc w:val="center"/>
              <w:rPr>
                <w:rFonts w:ascii="宋体" w:hAnsi="宋体" w:cs="宋体"/>
                <w:color w:val="auto"/>
                <w:kern w:val="2"/>
                <w:szCs w:val="21"/>
                <w:highlight w:val="none"/>
              </w:rPr>
            </w:pPr>
            <w:r>
              <w:rPr>
                <w:rFonts w:hint="eastAsia" w:ascii="宋体" w:hAnsi="宋体" w:cs="宋体"/>
                <w:color w:val="auto"/>
                <w:kern w:val="2"/>
                <w:szCs w:val="21"/>
                <w:highlight w:val="none"/>
              </w:rPr>
              <w:t>3</w:t>
            </w:r>
          </w:p>
        </w:tc>
        <w:tc>
          <w:tcPr>
            <w:tcW w:w="6964" w:type="dxa"/>
            <w:noWrap/>
            <w:vAlign w:val="center"/>
          </w:tcPr>
          <w:p w14:paraId="1D244983">
            <w:pPr>
              <w:snapToGrid w:val="0"/>
              <w:spacing w:line="360" w:lineRule="auto"/>
              <w:rPr>
                <w:rFonts w:ascii="宋体" w:hAnsi="宋体" w:cs="宋体"/>
                <w:bCs/>
                <w:color w:val="auto"/>
                <w:kern w:val="2"/>
                <w:szCs w:val="21"/>
                <w:highlight w:val="none"/>
              </w:rPr>
            </w:pPr>
            <w:r>
              <w:rPr>
                <w:rFonts w:hint="eastAsia" w:ascii="宋体" w:hAnsi="宋体" w:cs="宋体"/>
                <w:bCs/>
                <w:color w:val="auto"/>
                <w:kern w:val="2"/>
                <w:szCs w:val="21"/>
                <w:highlight w:val="none"/>
              </w:rPr>
              <w:t>投标人提供自</w:t>
            </w:r>
            <w:r>
              <w:rPr>
                <w:rFonts w:ascii="宋体" w:hAnsi="宋体" w:cs="宋体"/>
                <w:bCs/>
                <w:color w:val="auto"/>
                <w:kern w:val="2"/>
                <w:szCs w:val="21"/>
                <w:highlight w:val="none"/>
              </w:rPr>
              <w:t>20</w:t>
            </w:r>
            <w:r>
              <w:rPr>
                <w:rFonts w:hint="eastAsia" w:ascii="宋体" w:hAnsi="宋体" w:cs="宋体"/>
                <w:bCs/>
                <w:color w:val="auto"/>
                <w:kern w:val="2"/>
                <w:szCs w:val="21"/>
                <w:highlight w:val="none"/>
              </w:rPr>
              <w:t>20</w:t>
            </w:r>
            <w:r>
              <w:rPr>
                <w:rFonts w:ascii="宋体" w:hAnsi="宋体" w:cs="宋体"/>
                <w:bCs/>
                <w:color w:val="auto"/>
                <w:kern w:val="2"/>
                <w:szCs w:val="21"/>
                <w:highlight w:val="none"/>
              </w:rPr>
              <w:t>年</w:t>
            </w:r>
            <w:r>
              <w:rPr>
                <w:rFonts w:hint="eastAsia" w:ascii="宋体" w:hAnsi="宋体" w:cs="宋体"/>
                <w:bCs/>
                <w:color w:val="auto"/>
                <w:kern w:val="2"/>
                <w:szCs w:val="21"/>
                <w:highlight w:val="none"/>
              </w:rPr>
              <w:t>1月1日至今获得交通规划、交通战略</w:t>
            </w:r>
            <w:r>
              <w:rPr>
                <w:rFonts w:ascii="宋体" w:hAnsi="宋体" w:cs="宋体"/>
                <w:bCs/>
                <w:color w:val="auto"/>
                <w:kern w:val="2"/>
                <w:szCs w:val="21"/>
                <w:highlight w:val="none"/>
              </w:rPr>
              <w:t>（研究）</w:t>
            </w:r>
            <w:r>
              <w:rPr>
                <w:rFonts w:hint="eastAsia" w:ascii="宋体" w:hAnsi="宋体" w:cs="宋体"/>
                <w:bCs/>
                <w:color w:val="auto"/>
                <w:kern w:val="2"/>
                <w:szCs w:val="21"/>
                <w:highlight w:val="none"/>
              </w:rPr>
              <w:t>类</w:t>
            </w:r>
            <w:r>
              <w:rPr>
                <w:rFonts w:ascii="宋体" w:hAnsi="宋体" w:cs="宋体"/>
                <w:bCs/>
                <w:color w:val="auto"/>
                <w:kern w:val="2"/>
                <w:szCs w:val="21"/>
                <w:highlight w:val="none"/>
              </w:rPr>
              <w:t>项目</w:t>
            </w:r>
            <w:r>
              <w:rPr>
                <w:rFonts w:hint="eastAsia" w:ascii="宋体" w:hAnsi="宋体" w:cs="宋体"/>
                <w:bCs/>
                <w:color w:val="auto"/>
                <w:kern w:val="2"/>
                <w:szCs w:val="21"/>
                <w:highlight w:val="none"/>
              </w:rPr>
              <w:t>省级及以上奖励的，每提供一个</w:t>
            </w:r>
            <w:r>
              <w:rPr>
                <w:rFonts w:ascii="宋体" w:hAnsi="宋体" w:cs="宋体"/>
                <w:bCs/>
                <w:color w:val="auto"/>
                <w:kern w:val="2"/>
                <w:szCs w:val="21"/>
                <w:highlight w:val="none"/>
              </w:rPr>
              <w:t>得</w:t>
            </w:r>
            <w:r>
              <w:rPr>
                <w:rFonts w:hint="eastAsia" w:ascii="宋体" w:hAnsi="宋体" w:cs="宋体"/>
                <w:bCs/>
                <w:color w:val="auto"/>
                <w:kern w:val="2"/>
                <w:szCs w:val="21"/>
                <w:highlight w:val="none"/>
              </w:rPr>
              <w:t>1.5</w:t>
            </w:r>
            <w:r>
              <w:rPr>
                <w:rFonts w:ascii="宋体" w:hAnsi="宋体" w:cs="宋体"/>
                <w:bCs/>
                <w:color w:val="auto"/>
                <w:kern w:val="2"/>
                <w:szCs w:val="21"/>
                <w:highlight w:val="none"/>
              </w:rPr>
              <w:t>分</w:t>
            </w:r>
            <w:r>
              <w:rPr>
                <w:rFonts w:hint="eastAsia" w:ascii="宋体" w:hAnsi="宋体" w:cs="宋体"/>
                <w:bCs/>
                <w:color w:val="auto"/>
                <w:kern w:val="2"/>
                <w:szCs w:val="21"/>
                <w:highlight w:val="none"/>
              </w:rPr>
              <w:t>；获得交通规划、交通战略</w:t>
            </w:r>
            <w:r>
              <w:rPr>
                <w:rFonts w:ascii="宋体" w:hAnsi="宋体" w:cs="宋体"/>
                <w:bCs/>
                <w:color w:val="auto"/>
                <w:kern w:val="2"/>
                <w:szCs w:val="21"/>
                <w:highlight w:val="none"/>
              </w:rPr>
              <w:t>（研究）</w:t>
            </w:r>
            <w:r>
              <w:rPr>
                <w:rFonts w:hint="eastAsia" w:ascii="宋体" w:hAnsi="宋体" w:cs="宋体"/>
                <w:bCs/>
                <w:color w:val="auto"/>
                <w:kern w:val="2"/>
                <w:szCs w:val="21"/>
                <w:highlight w:val="none"/>
              </w:rPr>
              <w:t>类</w:t>
            </w:r>
            <w:r>
              <w:rPr>
                <w:rFonts w:ascii="宋体" w:hAnsi="宋体" w:cs="宋体"/>
                <w:bCs/>
                <w:color w:val="auto"/>
                <w:kern w:val="2"/>
                <w:szCs w:val="21"/>
                <w:highlight w:val="none"/>
              </w:rPr>
              <w:t>项目</w:t>
            </w:r>
            <w:r>
              <w:rPr>
                <w:rFonts w:hint="eastAsia" w:ascii="宋体" w:hAnsi="宋体" w:cs="宋体"/>
                <w:bCs/>
                <w:color w:val="auto"/>
                <w:kern w:val="2"/>
                <w:szCs w:val="21"/>
                <w:highlight w:val="none"/>
              </w:rPr>
              <w:t>地级市奖励的，每提供一个</w:t>
            </w:r>
            <w:r>
              <w:rPr>
                <w:rFonts w:ascii="宋体" w:hAnsi="宋体" w:cs="宋体"/>
                <w:bCs/>
                <w:color w:val="auto"/>
                <w:kern w:val="2"/>
                <w:szCs w:val="21"/>
                <w:highlight w:val="none"/>
              </w:rPr>
              <w:t>得</w:t>
            </w:r>
            <w:r>
              <w:rPr>
                <w:rFonts w:hint="eastAsia" w:ascii="宋体" w:hAnsi="宋体" w:cs="宋体"/>
                <w:bCs/>
                <w:color w:val="auto"/>
                <w:kern w:val="2"/>
                <w:szCs w:val="21"/>
                <w:highlight w:val="none"/>
              </w:rPr>
              <w:t>1</w:t>
            </w:r>
            <w:r>
              <w:rPr>
                <w:rFonts w:ascii="宋体" w:hAnsi="宋体" w:cs="宋体"/>
                <w:bCs/>
                <w:color w:val="auto"/>
                <w:kern w:val="2"/>
                <w:szCs w:val="21"/>
                <w:highlight w:val="none"/>
              </w:rPr>
              <w:t>分</w:t>
            </w:r>
            <w:r>
              <w:rPr>
                <w:rFonts w:hint="eastAsia" w:ascii="宋体" w:hAnsi="宋体" w:cs="宋体"/>
                <w:bCs/>
                <w:color w:val="auto"/>
                <w:kern w:val="2"/>
                <w:szCs w:val="21"/>
                <w:highlight w:val="none"/>
              </w:rPr>
              <w:t>。</w:t>
            </w:r>
            <w:r>
              <w:rPr>
                <w:rFonts w:ascii="宋体" w:hAnsi="宋体" w:cs="宋体"/>
                <w:bCs/>
                <w:color w:val="auto"/>
                <w:kern w:val="2"/>
                <w:szCs w:val="21"/>
                <w:highlight w:val="none"/>
              </w:rPr>
              <w:t>最高得</w:t>
            </w:r>
            <w:r>
              <w:rPr>
                <w:rFonts w:hint="eastAsia" w:ascii="宋体" w:hAnsi="宋体" w:cs="宋体"/>
                <w:bCs/>
                <w:color w:val="auto"/>
                <w:kern w:val="2"/>
                <w:szCs w:val="21"/>
                <w:highlight w:val="none"/>
              </w:rPr>
              <w:t>3</w:t>
            </w:r>
            <w:r>
              <w:rPr>
                <w:rFonts w:ascii="宋体" w:hAnsi="宋体" w:cs="宋体"/>
                <w:bCs/>
                <w:color w:val="auto"/>
                <w:kern w:val="2"/>
                <w:szCs w:val="21"/>
                <w:highlight w:val="none"/>
              </w:rPr>
              <w:t>分</w:t>
            </w:r>
            <w:r>
              <w:rPr>
                <w:rFonts w:hint="eastAsia" w:ascii="宋体" w:hAnsi="宋体" w:cs="宋体"/>
                <w:bCs/>
                <w:color w:val="auto"/>
                <w:kern w:val="2"/>
                <w:szCs w:val="21"/>
                <w:highlight w:val="none"/>
              </w:rPr>
              <w:t>。</w:t>
            </w:r>
          </w:p>
          <w:p w14:paraId="27F11C7D">
            <w:pPr>
              <w:snapToGrid w:val="0"/>
              <w:spacing w:line="360" w:lineRule="auto"/>
              <w:rPr>
                <w:rFonts w:ascii="宋体" w:hAnsi="宋体" w:cs="宋体"/>
                <w:bCs/>
                <w:color w:val="auto"/>
                <w:kern w:val="2"/>
                <w:szCs w:val="21"/>
                <w:highlight w:val="none"/>
              </w:rPr>
            </w:pPr>
            <w:r>
              <w:rPr>
                <w:rFonts w:hint="eastAsia" w:ascii="宋体" w:hAnsi="宋体" w:cs="宋体"/>
                <w:bCs/>
                <w:color w:val="auto"/>
                <w:kern w:val="2"/>
                <w:szCs w:val="21"/>
                <w:highlight w:val="none"/>
              </w:rPr>
              <w:t>注：（获奖时间以获奖证书时间为准，无证书的以获奖公示日期为准）投标文件中需提供相关项目获奖证书扫描件或获奖公示证明材料扫描件，否则不得分。</w:t>
            </w:r>
          </w:p>
        </w:tc>
      </w:tr>
      <w:tr w14:paraId="0D0BA6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6" w:hRule="atLeast"/>
          <w:jc w:val="center"/>
        </w:trPr>
        <w:tc>
          <w:tcPr>
            <w:tcW w:w="917" w:type="dxa"/>
            <w:noWrap/>
            <w:vAlign w:val="center"/>
          </w:tcPr>
          <w:p w14:paraId="36874556">
            <w:pPr>
              <w:spacing w:line="240" w:lineRule="auto"/>
              <w:jc w:val="center"/>
              <w:rPr>
                <w:rFonts w:ascii="宋体" w:hAnsi="宋体" w:cs="宋体"/>
                <w:color w:val="auto"/>
                <w:kern w:val="2"/>
                <w:szCs w:val="21"/>
                <w:highlight w:val="none"/>
              </w:rPr>
            </w:pPr>
            <w:r>
              <w:rPr>
                <w:rFonts w:hint="eastAsia" w:ascii="宋体" w:hAnsi="宋体" w:cs="宋体"/>
                <w:color w:val="auto"/>
                <w:kern w:val="2"/>
                <w:szCs w:val="21"/>
                <w:highlight w:val="none"/>
              </w:rPr>
              <w:t>诚信</w:t>
            </w:r>
          </w:p>
          <w:p w14:paraId="2CAE7DEE">
            <w:pPr>
              <w:spacing w:line="240" w:lineRule="auto"/>
              <w:jc w:val="center"/>
              <w:rPr>
                <w:rFonts w:ascii="宋体" w:hAnsi="宋体" w:cs="宋体"/>
                <w:color w:val="auto"/>
                <w:kern w:val="2"/>
                <w:szCs w:val="21"/>
                <w:highlight w:val="none"/>
              </w:rPr>
            </w:pPr>
            <w:r>
              <w:rPr>
                <w:rFonts w:hint="eastAsia" w:ascii="宋体" w:hAnsi="宋体" w:cs="宋体"/>
                <w:color w:val="auto"/>
                <w:kern w:val="2"/>
                <w:szCs w:val="21"/>
                <w:highlight w:val="none"/>
              </w:rPr>
              <w:t>投标</w:t>
            </w:r>
          </w:p>
        </w:tc>
        <w:tc>
          <w:tcPr>
            <w:tcW w:w="1190" w:type="dxa"/>
            <w:noWrap/>
            <w:vAlign w:val="center"/>
          </w:tcPr>
          <w:p w14:paraId="0B435049">
            <w:pPr>
              <w:spacing w:line="480" w:lineRule="exact"/>
              <w:jc w:val="center"/>
              <w:rPr>
                <w:rFonts w:ascii="宋体" w:hAnsi="宋体" w:cs="宋体"/>
                <w:color w:val="auto"/>
                <w:kern w:val="2"/>
                <w:szCs w:val="21"/>
                <w:highlight w:val="none"/>
              </w:rPr>
            </w:pPr>
            <w:r>
              <w:rPr>
                <w:rFonts w:hint="eastAsia" w:ascii="宋体" w:hAnsi="宋体" w:cs="宋体"/>
                <w:color w:val="auto"/>
                <w:kern w:val="2"/>
                <w:szCs w:val="21"/>
                <w:highlight w:val="none"/>
              </w:rPr>
              <w:t>诚信投标</w:t>
            </w:r>
          </w:p>
        </w:tc>
        <w:tc>
          <w:tcPr>
            <w:tcW w:w="531" w:type="dxa"/>
            <w:noWrap/>
            <w:vAlign w:val="center"/>
          </w:tcPr>
          <w:p w14:paraId="7F593835">
            <w:pPr>
              <w:spacing w:line="480" w:lineRule="exact"/>
              <w:jc w:val="center"/>
              <w:rPr>
                <w:rFonts w:ascii="宋体" w:hAnsi="宋体" w:cs="宋体"/>
                <w:color w:val="auto"/>
                <w:kern w:val="2"/>
                <w:szCs w:val="21"/>
                <w:highlight w:val="none"/>
              </w:rPr>
            </w:pPr>
            <w:r>
              <w:rPr>
                <w:rFonts w:ascii="宋体" w:hAnsi="宋体" w:cs="宋体"/>
                <w:color w:val="auto"/>
                <w:kern w:val="2"/>
                <w:szCs w:val="21"/>
                <w:highlight w:val="none"/>
              </w:rPr>
              <w:t>1</w:t>
            </w:r>
          </w:p>
        </w:tc>
        <w:tc>
          <w:tcPr>
            <w:tcW w:w="6964" w:type="dxa"/>
            <w:noWrap/>
            <w:vAlign w:val="center"/>
          </w:tcPr>
          <w:p w14:paraId="28BE8A5E">
            <w:pPr>
              <w:spacing w:line="240" w:lineRule="auto"/>
              <w:rPr>
                <w:rFonts w:ascii="宋体" w:hAnsi="宋体" w:cs="宋体"/>
                <w:color w:val="auto"/>
                <w:kern w:val="2"/>
                <w:szCs w:val="21"/>
                <w:highlight w:val="none"/>
              </w:rPr>
            </w:pPr>
            <w:r>
              <w:rPr>
                <w:rFonts w:hint="eastAsia" w:ascii="宋体" w:hAnsi="宋体"/>
                <w:color w:val="auto"/>
                <w:szCs w:val="21"/>
                <w:highlight w:val="none"/>
              </w:rPr>
              <w:t>盐城市大丰区政府招标采购供应商承诺书</w:t>
            </w:r>
            <w:r>
              <w:rPr>
                <w:rFonts w:hint="eastAsia" w:ascii="宋体" w:hAnsi="宋体" w:cs="宋体"/>
                <w:color w:val="auto"/>
                <w:kern w:val="2"/>
                <w:szCs w:val="21"/>
                <w:highlight w:val="none"/>
              </w:rPr>
              <w:t>的，得1分。</w:t>
            </w:r>
          </w:p>
        </w:tc>
      </w:tr>
    </w:tbl>
    <w:p w14:paraId="14DFF826">
      <w:pPr>
        <w:shd w:val="clear" w:color="auto" w:fill="FFFFFF"/>
        <w:spacing w:line="480" w:lineRule="exact"/>
        <w:ind w:firstLine="420"/>
        <w:rPr>
          <w:color w:val="auto"/>
          <w:highlight w:val="none"/>
        </w:rPr>
      </w:pPr>
      <w:r>
        <w:rPr>
          <w:rFonts w:hint="eastAsia" w:ascii="宋体" w:hAnsi="宋体"/>
          <w:b/>
          <w:color w:val="auto"/>
          <w:szCs w:val="21"/>
          <w:highlight w:val="none"/>
        </w:rPr>
        <w:t>2.</w:t>
      </w:r>
      <w:r>
        <w:rPr>
          <w:rFonts w:ascii="宋体" w:hAnsi="宋体"/>
          <w:b/>
          <w:color w:val="auto"/>
          <w:szCs w:val="21"/>
          <w:highlight w:val="none"/>
        </w:rPr>
        <w:t>2</w:t>
      </w:r>
      <w:r>
        <w:rPr>
          <w:rFonts w:hint="eastAsia" w:ascii="宋体" w:hAnsi="宋体"/>
          <w:b/>
          <w:color w:val="auto"/>
          <w:szCs w:val="21"/>
          <w:highlight w:val="none"/>
        </w:rPr>
        <w:t>招标人有权在中标公示期间、签约前后等任何环节对相关资料的真实性进行核验，如发现提供虚假资料招标人将依法取消其中标资格。</w:t>
      </w:r>
    </w:p>
    <w:p w14:paraId="7062EEDB">
      <w:pPr>
        <w:shd w:val="clear" w:color="auto" w:fill="FFFFFF"/>
        <w:spacing w:line="480" w:lineRule="exact"/>
        <w:ind w:firstLine="420"/>
        <w:rPr>
          <w:rFonts w:hint="eastAsia" w:ascii="宋体" w:hAnsi="宋体"/>
          <w:color w:val="auto"/>
          <w:szCs w:val="21"/>
          <w:highlight w:val="none"/>
        </w:rPr>
      </w:pPr>
      <w:r>
        <w:rPr>
          <w:rFonts w:hint="eastAsia" w:ascii="宋体" w:hAnsi="宋体"/>
          <w:color w:val="auto"/>
          <w:szCs w:val="21"/>
          <w:highlight w:val="none"/>
        </w:rPr>
        <w:t>2.</w:t>
      </w:r>
      <w:r>
        <w:rPr>
          <w:rFonts w:ascii="宋体" w:hAnsi="宋体"/>
          <w:color w:val="auto"/>
          <w:szCs w:val="21"/>
          <w:highlight w:val="none"/>
        </w:rPr>
        <w:t>3</w:t>
      </w:r>
      <w:r>
        <w:rPr>
          <w:rFonts w:hint="eastAsia" w:ascii="宋体" w:hAnsi="宋体"/>
          <w:color w:val="auto"/>
          <w:szCs w:val="21"/>
          <w:highlight w:val="none"/>
        </w:rPr>
        <w:t>评委应记名打分，打分未记名的或未按招标文件规定的评标办法打分的，一律按无效打分处理。取所有评委的有效分值进行计分、汇总；各项汇总时，每大项记分保留三位小数（第四位四舍五入）；总得分汇总时保留两位小数（第三位四舍五入）。</w:t>
      </w:r>
    </w:p>
    <w:p w14:paraId="11F68295">
      <w:pPr>
        <w:spacing w:line="520" w:lineRule="exact"/>
        <w:ind w:firstLine="470"/>
        <w:jc w:val="left"/>
        <w:rPr>
          <w:color w:val="auto"/>
          <w:highlight w:val="none"/>
        </w:rPr>
      </w:pPr>
      <w:r>
        <w:rPr>
          <w:rFonts w:hint="eastAsia" w:ascii="宋体" w:hAnsi="宋体" w:eastAsia="宋体" w:cs="宋体"/>
          <w:b/>
          <w:color w:val="auto"/>
          <w:kern w:val="0"/>
          <w:sz w:val="24"/>
          <w:szCs w:val="24"/>
          <w:highlight w:val="none"/>
          <w:lang w:val="en-US" w:eastAsia="zh-CN"/>
        </w:rPr>
        <w:t>任何最低报价及任何单项因素的最优均不是中标的必要条件。评标时，评标委员会各成员独立对每个有效投标人的标书进行评价、打分，然后汇总，按算术平均方法，计算出每个投标人的得分；报价得分通过计算直接取得；报价得分加评委算术平均得分，为投标人的总得分。</w:t>
      </w:r>
    </w:p>
    <w:p w14:paraId="38F1A9E1">
      <w:pPr>
        <w:spacing w:line="480" w:lineRule="exact"/>
        <w:ind w:firstLine="420"/>
        <w:rPr>
          <w:rFonts w:ascii="宋体" w:hAnsi="宋体" w:cs="宋体"/>
          <w:color w:val="auto"/>
          <w:szCs w:val="21"/>
          <w:highlight w:val="none"/>
        </w:rPr>
      </w:pPr>
      <w:r>
        <w:rPr>
          <w:rFonts w:hint="eastAsia" w:ascii="宋体" w:hAnsi="宋体" w:cs="宋体"/>
          <w:color w:val="auto"/>
          <w:szCs w:val="21"/>
          <w:highlight w:val="none"/>
        </w:rPr>
        <w:t>三、评标程序</w:t>
      </w:r>
      <w:bookmarkEnd w:id="42"/>
    </w:p>
    <w:p w14:paraId="1FE15F23">
      <w:pPr>
        <w:spacing w:line="480" w:lineRule="exact"/>
        <w:ind w:firstLine="420"/>
        <w:rPr>
          <w:rFonts w:ascii="宋体" w:hAnsi="宋体" w:cs="宋体"/>
          <w:color w:val="auto"/>
          <w:szCs w:val="21"/>
          <w:highlight w:val="none"/>
        </w:rPr>
      </w:pPr>
      <w:bookmarkStart w:id="43" w:name="_Toc397928606"/>
      <w:bookmarkStart w:id="44" w:name="_Toc22907"/>
      <w:bookmarkStart w:id="45" w:name="_Toc29388463"/>
      <w:r>
        <w:rPr>
          <w:rFonts w:hint="eastAsia" w:ascii="宋体" w:hAnsi="宋体" w:cs="宋体"/>
          <w:color w:val="auto"/>
          <w:szCs w:val="21"/>
          <w:highlight w:val="none"/>
        </w:rPr>
        <w:t>3.1 评标准备</w:t>
      </w:r>
      <w:bookmarkEnd w:id="43"/>
      <w:bookmarkEnd w:id="44"/>
      <w:bookmarkEnd w:id="45"/>
    </w:p>
    <w:p w14:paraId="71C7C536">
      <w:pPr>
        <w:spacing w:line="480" w:lineRule="exact"/>
        <w:ind w:firstLine="420"/>
        <w:rPr>
          <w:rFonts w:ascii="宋体" w:hAnsi="宋体" w:cs="宋体"/>
          <w:color w:val="auto"/>
          <w:szCs w:val="21"/>
          <w:highlight w:val="none"/>
        </w:rPr>
      </w:pPr>
      <w:r>
        <w:rPr>
          <w:rFonts w:hint="eastAsia" w:ascii="宋体" w:hAnsi="宋体" w:cs="宋体"/>
          <w:color w:val="auto"/>
          <w:szCs w:val="21"/>
          <w:highlight w:val="none"/>
        </w:rPr>
        <w:t>3.1.</w:t>
      </w:r>
      <w:r>
        <w:rPr>
          <w:rFonts w:ascii="宋体" w:hAnsi="宋体" w:cs="宋体"/>
          <w:color w:val="auto"/>
          <w:szCs w:val="21"/>
          <w:highlight w:val="none"/>
        </w:rPr>
        <w:t>1</w:t>
      </w:r>
      <w:r>
        <w:rPr>
          <w:rFonts w:hint="eastAsia" w:ascii="宋体" w:hAnsi="宋体" w:cs="宋体"/>
          <w:color w:val="auto"/>
          <w:szCs w:val="21"/>
          <w:highlight w:val="none"/>
        </w:rPr>
        <w:t xml:space="preserve"> 评标委员会成员首先推选一名评标委员会负责人，负责评标活动的组织领导工作。</w:t>
      </w:r>
    </w:p>
    <w:p w14:paraId="3692A394">
      <w:pPr>
        <w:spacing w:line="480" w:lineRule="exact"/>
        <w:ind w:firstLine="420"/>
        <w:rPr>
          <w:rFonts w:ascii="宋体" w:hAnsi="宋体" w:cs="宋体"/>
          <w:color w:val="auto"/>
          <w:szCs w:val="21"/>
          <w:highlight w:val="none"/>
        </w:rPr>
      </w:pPr>
      <w:r>
        <w:rPr>
          <w:rFonts w:hint="eastAsia" w:ascii="宋体" w:hAnsi="宋体" w:cs="宋体"/>
          <w:color w:val="auto"/>
          <w:szCs w:val="21"/>
          <w:highlight w:val="none"/>
        </w:rPr>
        <w:t>3.1.</w:t>
      </w:r>
      <w:r>
        <w:rPr>
          <w:rFonts w:ascii="宋体" w:hAnsi="宋体" w:cs="宋体"/>
          <w:color w:val="auto"/>
          <w:szCs w:val="21"/>
          <w:highlight w:val="none"/>
        </w:rPr>
        <w:t>2</w:t>
      </w:r>
      <w:r>
        <w:rPr>
          <w:rFonts w:hint="eastAsia" w:ascii="宋体" w:hAnsi="宋体" w:cs="宋体"/>
          <w:color w:val="auto"/>
          <w:szCs w:val="21"/>
          <w:highlight w:val="none"/>
        </w:rPr>
        <w:t xml:space="preserve"> 招标人或招标代理机构应向评标委员会提供评标所需的信息和数据。评标委员会负责人应组织评标委员会成员认真研究招标文件，未在招标文件中规定的标准和方法不得作为评标的依据。</w:t>
      </w:r>
    </w:p>
    <w:p w14:paraId="12BA5401">
      <w:pPr>
        <w:spacing w:line="480" w:lineRule="exact"/>
        <w:ind w:firstLine="420"/>
        <w:rPr>
          <w:rFonts w:ascii="宋体" w:hAnsi="宋体" w:cs="宋体"/>
          <w:color w:val="auto"/>
          <w:szCs w:val="21"/>
          <w:highlight w:val="none"/>
        </w:rPr>
      </w:pPr>
      <w:bookmarkStart w:id="46" w:name="_Toc29388464"/>
      <w:bookmarkStart w:id="47" w:name="_Toc397928607"/>
      <w:bookmarkStart w:id="48" w:name="_Toc6331"/>
      <w:r>
        <w:rPr>
          <w:rFonts w:hint="eastAsia" w:ascii="宋体" w:hAnsi="宋体" w:cs="宋体"/>
          <w:color w:val="auto"/>
          <w:szCs w:val="21"/>
          <w:highlight w:val="none"/>
        </w:rPr>
        <w:t>3.2 初步评审</w:t>
      </w:r>
      <w:bookmarkEnd w:id="46"/>
      <w:bookmarkEnd w:id="47"/>
      <w:bookmarkEnd w:id="48"/>
    </w:p>
    <w:p w14:paraId="5CFA715C">
      <w:pPr>
        <w:spacing w:line="480" w:lineRule="exact"/>
        <w:ind w:firstLine="420"/>
        <w:rPr>
          <w:rFonts w:ascii="宋体" w:hAnsi="宋体" w:cs="宋体"/>
          <w:color w:val="auto"/>
          <w:szCs w:val="21"/>
          <w:highlight w:val="none"/>
        </w:rPr>
      </w:pPr>
      <w:r>
        <w:rPr>
          <w:rFonts w:hint="eastAsia" w:ascii="宋体" w:hAnsi="宋体" w:cs="宋体"/>
          <w:color w:val="auto"/>
          <w:szCs w:val="21"/>
          <w:highlight w:val="none"/>
        </w:rPr>
        <w:t>3.2.1评标委员会依据本章第一款规定的标准对投标文件进行初步评审。</w:t>
      </w:r>
    </w:p>
    <w:p w14:paraId="21089804">
      <w:pPr>
        <w:spacing w:line="480" w:lineRule="exact"/>
        <w:ind w:firstLine="420"/>
        <w:rPr>
          <w:rFonts w:ascii="宋体" w:hAnsi="宋体" w:cs="宋体"/>
          <w:color w:val="auto"/>
          <w:szCs w:val="21"/>
          <w:highlight w:val="none"/>
        </w:rPr>
      </w:pPr>
      <w:r>
        <w:rPr>
          <w:rFonts w:hint="eastAsia" w:ascii="宋体" w:hAnsi="宋体" w:cs="宋体"/>
          <w:color w:val="auto"/>
          <w:szCs w:val="21"/>
          <w:highlight w:val="none"/>
        </w:rPr>
        <w:t>3.2.2投标文件不符合本章第一款评审标准的，属于重大偏差，视为未能对招标文件作出实质性响应，应当作为无效投标予以否决。</w:t>
      </w:r>
    </w:p>
    <w:p w14:paraId="1455F1DE">
      <w:pPr>
        <w:spacing w:line="480" w:lineRule="exact"/>
        <w:ind w:firstLine="420"/>
        <w:rPr>
          <w:rFonts w:ascii="宋体" w:hAnsi="宋体" w:cs="宋体"/>
          <w:color w:val="auto"/>
          <w:szCs w:val="21"/>
          <w:highlight w:val="none"/>
        </w:rPr>
      </w:pPr>
      <w:r>
        <w:rPr>
          <w:rFonts w:hint="eastAsia" w:ascii="宋体" w:hAnsi="宋体" w:cs="宋体"/>
          <w:color w:val="auto"/>
          <w:szCs w:val="21"/>
          <w:highlight w:val="none"/>
        </w:rPr>
        <w:t>3.2.</w:t>
      </w:r>
      <w:r>
        <w:rPr>
          <w:rFonts w:ascii="宋体" w:hAnsi="宋体" w:cs="宋体"/>
          <w:color w:val="auto"/>
          <w:szCs w:val="21"/>
          <w:highlight w:val="none"/>
        </w:rPr>
        <w:t>3</w:t>
      </w:r>
      <w:r>
        <w:rPr>
          <w:rFonts w:hint="eastAsia" w:ascii="宋体" w:hAnsi="宋体" w:cs="宋体"/>
          <w:color w:val="auto"/>
          <w:szCs w:val="21"/>
          <w:highlight w:val="none"/>
        </w:rPr>
        <w:t>只有通过初步评审的投标文件才能进入详细评审。</w:t>
      </w:r>
    </w:p>
    <w:p w14:paraId="784E3023">
      <w:pPr>
        <w:spacing w:line="480" w:lineRule="exact"/>
        <w:ind w:firstLine="420"/>
        <w:rPr>
          <w:rFonts w:ascii="宋体" w:hAnsi="宋体" w:cs="宋体"/>
          <w:color w:val="auto"/>
          <w:szCs w:val="21"/>
          <w:highlight w:val="none"/>
        </w:rPr>
      </w:pPr>
      <w:bookmarkStart w:id="49" w:name="_Toc397928608"/>
      <w:bookmarkStart w:id="50" w:name="_Toc7389"/>
      <w:bookmarkStart w:id="51" w:name="_Toc29388465"/>
      <w:r>
        <w:rPr>
          <w:rFonts w:hint="eastAsia" w:ascii="宋体" w:hAnsi="宋体" w:cs="宋体"/>
          <w:color w:val="auto"/>
          <w:szCs w:val="21"/>
          <w:highlight w:val="none"/>
        </w:rPr>
        <w:t>3.3 详细评审</w:t>
      </w:r>
      <w:bookmarkEnd w:id="49"/>
      <w:bookmarkEnd w:id="50"/>
      <w:bookmarkEnd w:id="51"/>
    </w:p>
    <w:p w14:paraId="6C4B15B5">
      <w:pPr>
        <w:spacing w:line="480" w:lineRule="exact"/>
        <w:ind w:firstLine="420"/>
        <w:rPr>
          <w:rFonts w:ascii="宋体" w:hAnsi="宋体" w:cs="宋体"/>
          <w:color w:val="auto"/>
          <w:szCs w:val="21"/>
          <w:highlight w:val="none"/>
        </w:rPr>
      </w:pPr>
      <w:bookmarkStart w:id="52" w:name="_Toc29388466"/>
      <w:bookmarkStart w:id="53" w:name="_Toc397928609"/>
      <w:bookmarkStart w:id="54" w:name="_Toc5826"/>
      <w:r>
        <w:rPr>
          <w:rFonts w:hint="eastAsia" w:ascii="宋体" w:hAnsi="宋体" w:cs="宋体"/>
          <w:color w:val="auto"/>
          <w:szCs w:val="21"/>
          <w:highlight w:val="none"/>
        </w:rPr>
        <w:t>3.4 投标文件的澄清和补正</w:t>
      </w:r>
      <w:bookmarkEnd w:id="52"/>
      <w:bookmarkEnd w:id="53"/>
      <w:bookmarkEnd w:id="54"/>
    </w:p>
    <w:p w14:paraId="5B39C5A0">
      <w:pPr>
        <w:spacing w:line="480" w:lineRule="exact"/>
        <w:ind w:firstLine="420"/>
        <w:rPr>
          <w:rFonts w:ascii="宋体" w:hAnsi="宋体" w:cs="宋体"/>
          <w:color w:val="auto"/>
          <w:szCs w:val="21"/>
          <w:highlight w:val="none"/>
        </w:rPr>
      </w:pPr>
      <w:r>
        <w:rPr>
          <w:rFonts w:hint="eastAsia" w:ascii="宋体" w:hAnsi="宋体" w:cs="宋体"/>
          <w:color w:val="auto"/>
          <w:szCs w:val="21"/>
          <w:highlight w:val="none"/>
        </w:rPr>
        <w:t>3.4.1 在评标过程中，评标委员会可以书面形式要求投标人对所提交投标文件中不明确的内容进行书面澄清或说明，或者对细微偏差进行补正。评标委员会不接受投标人主动提出的澄清、说明或补正。</w:t>
      </w:r>
    </w:p>
    <w:p w14:paraId="1B6DBD0E">
      <w:pPr>
        <w:spacing w:line="480" w:lineRule="exact"/>
        <w:ind w:firstLine="420"/>
        <w:rPr>
          <w:rFonts w:ascii="宋体" w:hAnsi="宋体" w:cs="宋体"/>
          <w:color w:val="auto"/>
          <w:szCs w:val="21"/>
          <w:highlight w:val="none"/>
        </w:rPr>
      </w:pPr>
      <w:r>
        <w:rPr>
          <w:rFonts w:hint="eastAsia" w:ascii="宋体" w:hAnsi="宋体" w:cs="宋体"/>
          <w:color w:val="auto"/>
          <w:szCs w:val="21"/>
          <w:highlight w:val="none"/>
        </w:rPr>
        <w:t>3.4.2 澄清、说明和补正不得改变投标文件的实质性内容（算术性错误修正的除外）。投标人的书面澄清、说明和补正属于投标文件的组成部分。</w:t>
      </w:r>
    </w:p>
    <w:p w14:paraId="6B7C8FD6">
      <w:pPr>
        <w:spacing w:line="480" w:lineRule="exact"/>
        <w:ind w:firstLine="420"/>
        <w:rPr>
          <w:rFonts w:ascii="宋体" w:hAnsi="宋体" w:cs="宋体"/>
          <w:color w:val="auto"/>
          <w:szCs w:val="21"/>
          <w:highlight w:val="none"/>
        </w:rPr>
      </w:pPr>
      <w:r>
        <w:rPr>
          <w:rFonts w:hint="eastAsia" w:ascii="宋体" w:hAnsi="宋体" w:cs="宋体"/>
          <w:color w:val="auto"/>
          <w:szCs w:val="21"/>
          <w:highlight w:val="none"/>
        </w:rPr>
        <w:t>3.4.3 评标委员会对投标人提交的澄清、说明或补正有疑问的，可以要求投标人进一步澄清、说明或补正。</w:t>
      </w:r>
    </w:p>
    <w:p w14:paraId="68EBFEC5">
      <w:pPr>
        <w:spacing w:line="480" w:lineRule="exact"/>
        <w:ind w:firstLine="420"/>
        <w:rPr>
          <w:rFonts w:ascii="宋体" w:hAnsi="宋体" w:cs="宋体"/>
          <w:color w:val="auto"/>
          <w:szCs w:val="21"/>
          <w:highlight w:val="none"/>
        </w:rPr>
      </w:pPr>
      <w:bookmarkStart w:id="55" w:name="_Toc29288"/>
      <w:bookmarkStart w:id="56" w:name="_Toc29388467"/>
      <w:bookmarkStart w:id="57" w:name="_Toc397928610"/>
      <w:r>
        <w:rPr>
          <w:rFonts w:hint="eastAsia" w:ascii="宋体" w:hAnsi="宋体" w:cs="宋体"/>
          <w:color w:val="auto"/>
          <w:szCs w:val="21"/>
          <w:highlight w:val="none"/>
        </w:rPr>
        <w:t>3.5 推荐中标候选人或直接确定中标人</w:t>
      </w:r>
      <w:bookmarkEnd w:id="55"/>
      <w:bookmarkEnd w:id="56"/>
      <w:bookmarkEnd w:id="57"/>
    </w:p>
    <w:p w14:paraId="67B0DAD5">
      <w:pPr>
        <w:spacing w:line="480" w:lineRule="exact"/>
        <w:ind w:firstLine="420"/>
        <w:rPr>
          <w:rFonts w:ascii="宋体" w:hAnsi="宋体" w:cs="宋体"/>
          <w:color w:val="auto"/>
          <w:szCs w:val="21"/>
          <w:highlight w:val="none"/>
        </w:rPr>
      </w:pPr>
      <w:r>
        <w:rPr>
          <w:rFonts w:hint="eastAsia" w:ascii="宋体" w:hAnsi="宋体" w:cs="宋体"/>
          <w:color w:val="auto"/>
          <w:szCs w:val="21"/>
          <w:highlight w:val="none"/>
        </w:rPr>
        <w:t>3.5.1 除投标人须知前附表授权直接确定中标人外，评标委员会在推荐中标候选人时，应遵照以下原则:</w:t>
      </w:r>
    </w:p>
    <w:p w14:paraId="7E16979B">
      <w:pPr>
        <w:spacing w:line="480" w:lineRule="exact"/>
        <w:ind w:firstLine="420"/>
        <w:jc w:val="left"/>
        <w:rPr>
          <w:rFonts w:hint="eastAsia" w:ascii="宋体" w:hAnsi="TimesNewRomanPSMT"/>
          <w:color w:val="auto"/>
          <w:szCs w:val="21"/>
          <w:highlight w:val="none"/>
        </w:rPr>
      </w:pPr>
      <w:bookmarkStart w:id="58" w:name="_Toc29388468"/>
      <w:bookmarkStart w:id="59" w:name="_Toc397928611"/>
      <w:r>
        <w:rPr>
          <w:rFonts w:hint="eastAsia" w:ascii="宋体" w:hAnsi="TimesNewRomanPSMT"/>
          <w:color w:val="auto"/>
          <w:szCs w:val="21"/>
          <w:highlight w:val="none"/>
        </w:rPr>
        <w:t>评标委员会按照最终得分由高至低的次序排列，并根据投标人须知前附表规定的中标候选人数量，将排序在前的投标人推荐为中标候选人。</w:t>
      </w:r>
    </w:p>
    <w:p w14:paraId="1DF3EAB5">
      <w:pPr>
        <w:spacing w:line="480" w:lineRule="exact"/>
        <w:ind w:firstLine="420"/>
        <w:rPr>
          <w:rFonts w:ascii="宋体" w:hAnsi="宋体" w:cs="宋体"/>
          <w:color w:val="auto"/>
          <w:szCs w:val="21"/>
          <w:highlight w:val="none"/>
        </w:rPr>
      </w:pPr>
      <w:r>
        <w:rPr>
          <w:rFonts w:hint="eastAsia" w:ascii="宋体" w:hAnsi="宋体" w:cs="宋体"/>
          <w:color w:val="auto"/>
          <w:szCs w:val="21"/>
          <w:highlight w:val="none"/>
        </w:rPr>
        <w:t>3.6 提交评标报告</w:t>
      </w:r>
      <w:bookmarkEnd w:id="58"/>
      <w:bookmarkEnd w:id="59"/>
    </w:p>
    <w:p w14:paraId="08DC92DB">
      <w:pPr>
        <w:spacing w:line="480" w:lineRule="exact"/>
        <w:ind w:firstLine="420"/>
        <w:rPr>
          <w:rFonts w:ascii="宋体" w:hAnsi="宋体" w:cs="宋体"/>
          <w:color w:val="auto"/>
          <w:szCs w:val="21"/>
          <w:highlight w:val="none"/>
        </w:rPr>
      </w:pPr>
      <w:r>
        <w:rPr>
          <w:rFonts w:hint="eastAsia" w:ascii="宋体" w:hAnsi="宋体" w:cs="宋体"/>
          <w:color w:val="auto"/>
          <w:szCs w:val="21"/>
          <w:highlight w:val="none"/>
        </w:rPr>
        <w:t>评标委员会完成评标后，应当向招标人提交书面评标报告。评标报告应当由全体评标委员会成员签字，并于评标结束时抄送有关行政监督部门。</w:t>
      </w:r>
    </w:p>
    <w:p w14:paraId="6D02C10F">
      <w:pPr>
        <w:spacing w:line="480" w:lineRule="exact"/>
        <w:ind w:firstLine="420"/>
        <w:rPr>
          <w:rFonts w:ascii="宋体" w:hAnsi="宋体" w:cs="宋体"/>
          <w:color w:val="auto"/>
          <w:szCs w:val="21"/>
          <w:highlight w:val="none"/>
        </w:rPr>
      </w:pPr>
      <w:bookmarkStart w:id="60" w:name="_Toc29388469"/>
      <w:r>
        <w:rPr>
          <w:rFonts w:hint="eastAsia" w:ascii="宋体" w:hAnsi="宋体" w:cs="宋体"/>
          <w:color w:val="auto"/>
          <w:szCs w:val="21"/>
          <w:highlight w:val="none"/>
        </w:rPr>
        <w:t>4． 通用评标规则</w:t>
      </w:r>
      <w:bookmarkEnd w:id="60"/>
    </w:p>
    <w:p w14:paraId="369F73B2">
      <w:pPr>
        <w:spacing w:line="480" w:lineRule="exact"/>
        <w:ind w:firstLine="420"/>
        <w:rPr>
          <w:rFonts w:ascii="宋体" w:hAnsi="宋体" w:cs="宋体"/>
          <w:color w:val="auto"/>
          <w:szCs w:val="21"/>
          <w:highlight w:val="none"/>
        </w:rPr>
      </w:pPr>
      <w:bookmarkStart w:id="61" w:name="_Toc29388470"/>
      <w:r>
        <w:rPr>
          <w:rFonts w:hint="eastAsia" w:ascii="宋体" w:hAnsi="宋体" w:cs="宋体"/>
          <w:color w:val="auto"/>
          <w:szCs w:val="21"/>
          <w:highlight w:val="none"/>
        </w:rPr>
        <w:t>4.1 评标程序</w:t>
      </w:r>
      <w:bookmarkEnd w:id="61"/>
    </w:p>
    <w:p w14:paraId="4B43B083">
      <w:pPr>
        <w:spacing w:line="480" w:lineRule="exact"/>
        <w:ind w:firstLine="420"/>
        <w:rPr>
          <w:rFonts w:ascii="宋体" w:hAnsi="宋体" w:cs="宋体"/>
          <w:color w:val="auto"/>
          <w:szCs w:val="21"/>
          <w:highlight w:val="none"/>
        </w:rPr>
      </w:pPr>
      <w:r>
        <w:rPr>
          <w:rFonts w:hint="eastAsia" w:ascii="宋体" w:hAnsi="宋体" w:cs="宋体"/>
          <w:color w:val="auto"/>
          <w:szCs w:val="21"/>
          <w:highlight w:val="none"/>
        </w:rPr>
        <w:t>资信文件、商务文件应分别评审，评审后不得更改。</w:t>
      </w:r>
    </w:p>
    <w:p w14:paraId="27995FBD">
      <w:pPr>
        <w:spacing w:line="480" w:lineRule="exact"/>
        <w:ind w:firstLine="420"/>
        <w:rPr>
          <w:rFonts w:ascii="宋体" w:hAnsi="宋体" w:cs="宋体"/>
          <w:color w:val="auto"/>
          <w:szCs w:val="21"/>
          <w:highlight w:val="none"/>
        </w:rPr>
      </w:pPr>
      <w:bookmarkStart w:id="62" w:name="_Toc29388472"/>
      <w:r>
        <w:rPr>
          <w:rFonts w:hint="eastAsia" w:ascii="宋体" w:hAnsi="宋体" w:cs="宋体"/>
          <w:color w:val="auto"/>
          <w:szCs w:val="21"/>
          <w:highlight w:val="none"/>
        </w:rPr>
        <w:t>4.2计价文件评审规定</w:t>
      </w:r>
      <w:bookmarkEnd w:id="62"/>
    </w:p>
    <w:p w14:paraId="1CBF99CA">
      <w:pPr>
        <w:spacing w:line="480" w:lineRule="exact"/>
        <w:ind w:firstLine="420"/>
        <w:rPr>
          <w:rFonts w:ascii="宋体" w:hAnsi="宋体" w:cs="宋体"/>
          <w:color w:val="auto"/>
          <w:szCs w:val="21"/>
          <w:highlight w:val="none"/>
        </w:rPr>
      </w:pPr>
      <w:r>
        <w:rPr>
          <w:rFonts w:hint="eastAsia" w:ascii="宋体" w:hAnsi="宋体" w:cs="宋体"/>
          <w:color w:val="auto"/>
          <w:szCs w:val="21"/>
          <w:highlight w:val="none"/>
        </w:rPr>
        <w:t>评标委员会认为投标人的投标报价有可能低于其个别成本时，应当要求投标人以书面方式作出澄清，并提供相关证明材料后再进行认定。</w:t>
      </w:r>
    </w:p>
    <w:p w14:paraId="6322D1CB">
      <w:pPr>
        <w:spacing w:line="480" w:lineRule="exact"/>
        <w:ind w:firstLine="420"/>
        <w:rPr>
          <w:rFonts w:ascii="宋体" w:hAnsi="宋体" w:cs="宋体"/>
          <w:color w:val="auto"/>
          <w:szCs w:val="21"/>
          <w:highlight w:val="none"/>
        </w:rPr>
      </w:pPr>
      <w:bookmarkStart w:id="63" w:name="_Toc29388474"/>
      <w:r>
        <w:rPr>
          <w:rFonts w:hint="eastAsia" w:ascii="宋体" w:hAnsi="宋体" w:cs="宋体"/>
          <w:color w:val="auto"/>
          <w:szCs w:val="21"/>
          <w:highlight w:val="none"/>
        </w:rPr>
        <w:t>4.3争议处理</w:t>
      </w:r>
      <w:bookmarkEnd w:id="63"/>
    </w:p>
    <w:p w14:paraId="492D4240">
      <w:pPr>
        <w:spacing w:line="480" w:lineRule="exact"/>
        <w:ind w:firstLine="420"/>
        <w:rPr>
          <w:rFonts w:ascii="宋体" w:hAnsi="宋体" w:cs="宋体"/>
          <w:color w:val="auto"/>
          <w:szCs w:val="21"/>
          <w:highlight w:val="none"/>
        </w:rPr>
      </w:pPr>
      <w:r>
        <w:rPr>
          <w:rFonts w:hint="eastAsia" w:ascii="宋体" w:hAnsi="宋体" w:cs="宋体"/>
          <w:color w:val="auto"/>
          <w:szCs w:val="21"/>
          <w:highlight w:val="none"/>
        </w:rPr>
        <w:t>评标中发生重大情况或重大争议，需要进一步调查了解、协调处理的，现场监督人员报招标投标管理部门同意后可暂时休会，待有关问题得到澄清后再行复会。休会期间，所有招投标资料一律封存，所有与会人员一律不得泄露评标情况。</w:t>
      </w:r>
    </w:p>
    <w:p w14:paraId="29582EFC">
      <w:pPr>
        <w:spacing w:line="480" w:lineRule="exact"/>
        <w:ind w:firstLine="420"/>
        <w:rPr>
          <w:rFonts w:ascii="宋体" w:hAnsi="宋体" w:cs="宋体"/>
          <w:color w:val="auto"/>
          <w:szCs w:val="21"/>
          <w:highlight w:val="none"/>
        </w:rPr>
      </w:pPr>
      <w:bookmarkStart w:id="64" w:name="_Toc29388475"/>
      <w:r>
        <w:rPr>
          <w:rFonts w:hint="eastAsia" w:ascii="宋体" w:hAnsi="宋体" w:cs="宋体"/>
          <w:color w:val="auto"/>
          <w:szCs w:val="21"/>
          <w:highlight w:val="none"/>
        </w:rPr>
        <w:t>4.4违法违纪行为</w:t>
      </w:r>
      <w:bookmarkEnd w:id="64"/>
    </w:p>
    <w:p w14:paraId="4F652DA2">
      <w:pPr>
        <w:spacing w:line="480" w:lineRule="exact"/>
        <w:ind w:firstLine="420"/>
        <w:rPr>
          <w:rFonts w:ascii="宋体" w:hAnsi="宋体" w:cs="宋体"/>
          <w:color w:val="auto"/>
          <w:szCs w:val="21"/>
          <w:highlight w:val="none"/>
        </w:rPr>
      </w:pPr>
      <w:r>
        <w:rPr>
          <w:rFonts w:hint="eastAsia" w:ascii="宋体" w:hAnsi="宋体" w:cs="宋体"/>
          <w:color w:val="auto"/>
          <w:szCs w:val="21"/>
          <w:highlight w:val="none"/>
        </w:rPr>
        <w:t>在招投标过程中发生行贿受贿、扰乱招投标活动秩序及其他严重违法违纪行为的，一律取消有关责任人参与招投标活动的资格；影响评审结果的，应宣布评审结果无效。</w:t>
      </w:r>
    </w:p>
    <w:p w14:paraId="64CE37EB">
      <w:pPr>
        <w:pStyle w:val="186"/>
        <w:spacing w:before="0" w:after="0" w:line="600" w:lineRule="exact"/>
        <w:ind w:firstLine="482"/>
        <w:rPr>
          <w:color w:val="auto"/>
          <w:highlight w:val="none"/>
        </w:rPr>
      </w:pPr>
      <w:r>
        <w:rPr>
          <w:rFonts w:ascii="宋体" w:hAnsi="TimesNewRomanPSMT"/>
          <w:color w:val="auto"/>
          <w:sz w:val="24"/>
          <w:highlight w:val="none"/>
        </w:rPr>
        <w:br w:type="page" w:clear="all"/>
      </w:r>
      <w:bookmarkStart w:id="65" w:name="_Toc246996995"/>
      <w:bookmarkStart w:id="66" w:name="_Toc387526240"/>
      <w:bookmarkStart w:id="67" w:name="_Toc498782305"/>
      <w:bookmarkStart w:id="68" w:name="_Toc152042387"/>
      <w:bookmarkStart w:id="69" w:name="_Toc246996252"/>
      <w:bookmarkStart w:id="70" w:name="_Toc387526436"/>
      <w:bookmarkStart w:id="71" w:name="_Toc179632627"/>
      <w:bookmarkStart w:id="72" w:name="_Toc366679736"/>
      <w:bookmarkStart w:id="73" w:name="_Toc387526344"/>
      <w:bookmarkStart w:id="74" w:name="_Toc144974577"/>
      <w:bookmarkStart w:id="75" w:name="_Toc247085767"/>
      <w:bookmarkStart w:id="76" w:name="_Toc17692"/>
      <w:bookmarkStart w:id="77" w:name="_Toc397928625"/>
      <w:bookmarkStart w:id="78" w:name="_Toc152045609"/>
      <w:r>
        <w:rPr>
          <w:rFonts w:hint="eastAsia"/>
          <w:color w:val="auto"/>
          <w:highlight w:val="none"/>
        </w:rPr>
        <w:t>第四章 合同条款及格式</w:t>
      </w:r>
      <w:bookmarkEnd w:id="65"/>
      <w:bookmarkEnd w:id="66"/>
      <w:bookmarkEnd w:id="67"/>
      <w:bookmarkEnd w:id="68"/>
      <w:bookmarkEnd w:id="69"/>
      <w:bookmarkEnd w:id="70"/>
      <w:bookmarkEnd w:id="71"/>
      <w:bookmarkEnd w:id="72"/>
      <w:bookmarkEnd w:id="73"/>
      <w:bookmarkEnd w:id="74"/>
      <w:bookmarkEnd w:id="75"/>
      <w:bookmarkEnd w:id="76"/>
      <w:bookmarkEnd w:id="77"/>
      <w:bookmarkEnd w:id="78"/>
    </w:p>
    <w:p w14:paraId="38FEDFEC">
      <w:pPr>
        <w:spacing w:line="480" w:lineRule="exact"/>
        <w:rPr>
          <w:rFonts w:ascii="宋体" w:hAnsi="宋体"/>
          <w:b/>
          <w:color w:val="auto"/>
          <w:szCs w:val="21"/>
          <w:highlight w:val="none"/>
        </w:rPr>
      </w:pPr>
    </w:p>
    <w:p w14:paraId="131678AF">
      <w:pPr>
        <w:spacing w:line="520" w:lineRule="exact"/>
        <w:jc w:val="left"/>
        <w:rPr>
          <w:rFonts w:ascii="宋体" w:hAnsi="宋体" w:cs="宋体"/>
          <w:color w:val="auto"/>
          <w:kern w:val="2"/>
          <w:szCs w:val="21"/>
          <w:highlight w:val="none"/>
          <w:u w:val="single"/>
        </w:rPr>
      </w:pPr>
      <w:r>
        <w:rPr>
          <w:rFonts w:hint="eastAsia" w:ascii="宋体" w:hAnsi="宋体" w:cs="宋体"/>
          <w:color w:val="auto"/>
          <w:kern w:val="2"/>
          <w:szCs w:val="21"/>
          <w:highlight w:val="none"/>
        </w:rPr>
        <w:t>甲方：</w:t>
      </w:r>
      <w:r>
        <w:rPr>
          <w:rFonts w:hint="eastAsia" w:ascii="宋体" w:hAnsi="宋体" w:cs="宋体"/>
          <w:color w:val="auto"/>
          <w:kern w:val="2"/>
          <w:szCs w:val="21"/>
          <w:highlight w:val="none"/>
          <w:u w:val="single"/>
        </w:rPr>
        <w:t xml:space="preserve">     （采购人）    </w:t>
      </w:r>
    </w:p>
    <w:p w14:paraId="5B544B81">
      <w:pPr>
        <w:spacing w:line="520" w:lineRule="exact"/>
        <w:jc w:val="left"/>
        <w:rPr>
          <w:rFonts w:ascii="宋体" w:hAnsi="宋体" w:cs="宋体"/>
          <w:color w:val="auto"/>
          <w:kern w:val="2"/>
          <w:szCs w:val="21"/>
          <w:highlight w:val="none"/>
          <w:u w:val="single"/>
        </w:rPr>
      </w:pPr>
      <w:r>
        <w:rPr>
          <w:rFonts w:hint="eastAsia" w:ascii="宋体" w:hAnsi="宋体" w:cs="宋体"/>
          <w:color w:val="auto"/>
          <w:kern w:val="2"/>
          <w:szCs w:val="21"/>
          <w:highlight w:val="none"/>
        </w:rPr>
        <w:t>乙方：</w:t>
      </w:r>
      <w:r>
        <w:rPr>
          <w:rFonts w:hint="eastAsia" w:ascii="宋体" w:hAnsi="宋体" w:cs="宋体"/>
          <w:color w:val="auto"/>
          <w:kern w:val="2"/>
          <w:szCs w:val="21"/>
          <w:highlight w:val="none"/>
          <w:u w:val="single"/>
        </w:rPr>
        <w:t xml:space="preserve">     （中标人）    </w:t>
      </w:r>
    </w:p>
    <w:p w14:paraId="5811B417">
      <w:pPr>
        <w:spacing w:line="500" w:lineRule="exact"/>
        <w:ind w:firstLine="420" w:firstLineChars="200"/>
        <w:jc w:val="left"/>
        <w:rPr>
          <w:rFonts w:ascii="宋体" w:hAnsi="宋体" w:cs="宋体"/>
          <w:bCs/>
          <w:color w:val="auto"/>
          <w:kern w:val="2"/>
          <w:szCs w:val="21"/>
          <w:highlight w:val="none"/>
          <w:lang w:val="zh-CN"/>
        </w:rPr>
      </w:pPr>
      <w:r>
        <w:rPr>
          <w:rFonts w:hint="eastAsia" w:ascii="宋体" w:hAnsi="宋体" w:cs="宋体"/>
          <w:bCs/>
          <w:color w:val="auto"/>
          <w:kern w:val="2"/>
          <w:szCs w:val="21"/>
          <w:highlight w:val="none"/>
          <w:lang w:val="zh-CN"/>
        </w:rPr>
        <w:t>根据招标文件及中标人的投标文件和中标通知书，甲乙双方就此次中标的</w:t>
      </w:r>
      <w:r>
        <w:rPr>
          <w:rFonts w:hint="eastAsia" w:ascii="宋体" w:hAnsi="宋体" w:cs="宋体"/>
          <w:bCs/>
          <w:color w:val="auto"/>
          <w:kern w:val="2"/>
          <w:szCs w:val="21"/>
          <w:highlight w:val="none"/>
          <w:u w:val="single"/>
        </w:rPr>
        <w:t xml:space="preserve"> 盐城市大丰区综合立体交通网规划编制项目 </w:t>
      </w:r>
      <w:r>
        <w:rPr>
          <w:rFonts w:hint="eastAsia" w:ascii="宋体" w:hAnsi="宋体" w:cs="宋体"/>
          <w:bCs/>
          <w:color w:val="auto"/>
          <w:kern w:val="2"/>
          <w:szCs w:val="21"/>
          <w:highlight w:val="none"/>
          <w:lang w:val="zh-CN"/>
        </w:rPr>
        <w:t>事宜，签订本合同书。</w:t>
      </w:r>
    </w:p>
    <w:p w14:paraId="083894DF">
      <w:pPr>
        <w:numPr>
          <w:ilvl w:val="0"/>
          <w:numId w:val="2"/>
        </w:numPr>
        <w:tabs>
          <w:tab w:val="left" w:pos="6383"/>
        </w:tabs>
        <w:spacing w:line="500" w:lineRule="exact"/>
        <w:ind w:firstLine="422" w:firstLineChars="200"/>
        <w:jc w:val="left"/>
        <w:rPr>
          <w:rFonts w:ascii="宋体" w:hAnsi="宋体" w:cs="宋体"/>
          <w:b/>
          <w:color w:val="auto"/>
          <w:kern w:val="2"/>
          <w:szCs w:val="21"/>
          <w:highlight w:val="none"/>
        </w:rPr>
      </w:pPr>
      <w:r>
        <w:rPr>
          <w:rFonts w:hint="eastAsia" w:ascii="宋体" w:hAnsi="宋体" w:cs="宋体"/>
          <w:b/>
          <w:color w:val="auto"/>
          <w:kern w:val="2"/>
          <w:szCs w:val="21"/>
          <w:highlight w:val="none"/>
        </w:rPr>
        <w:t>采购内容</w:t>
      </w:r>
    </w:p>
    <w:p w14:paraId="5E7175A6">
      <w:pPr>
        <w:tabs>
          <w:tab w:val="left" w:pos="6383"/>
        </w:tabs>
        <w:spacing w:line="500" w:lineRule="exact"/>
        <w:ind w:firstLine="422" w:firstLineChars="200"/>
        <w:jc w:val="left"/>
        <w:rPr>
          <w:rFonts w:ascii="宋体" w:hAnsi="宋体" w:cs="宋体"/>
          <w:b/>
          <w:color w:val="auto"/>
          <w:kern w:val="2"/>
          <w:szCs w:val="21"/>
          <w:highlight w:val="none"/>
        </w:rPr>
      </w:pPr>
      <w:r>
        <w:rPr>
          <w:rFonts w:hint="eastAsia" w:ascii="宋体" w:hAnsi="宋体" w:cs="宋体"/>
          <w:b/>
          <w:color w:val="auto"/>
          <w:kern w:val="2"/>
          <w:szCs w:val="21"/>
          <w:highlight w:val="none"/>
        </w:rPr>
        <w:t>详见招标需求。</w:t>
      </w:r>
    </w:p>
    <w:p w14:paraId="0884A21E">
      <w:pPr>
        <w:tabs>
          <w:tab w:val="left" w:pos="6383"/>
        </w:tabs>
        <w:spacing w:line="500" w:lineRule="exact"/>
        <w:ind w:firstLine="422" w:firstLineChars="200"/>
        <w:jc w:val="left"/>
        <w:rPr>
          <w:rFonts w:ascii="宋体" w:hAnsi="宋体" w:cs="宋体"/>
          <w:b/>
          <w:color w:val="auto"/>
          <w:kern w:val="2"/>
          <w:szCs w:val="21"/>
          <w:highlight w:val="none"/>
        </w:rPr>
      </w:pPr>
      <w:r>
        <w:rPr>
          <w:rFonts w:hint="eastAsia" w:ascii="宋体" w:hAnsi="宋体" w:cs="宋体"/>
          <w:b/>
          <w:color w:val="auto"/>
          <w:kern w:val="2"/>
          <w:szCs w:val="21"/>
          <w:highlight w:val="none"/>
        </w:rPr>
        <w:t>二、合同金额</w:t>
      </w:r>
    </w:p>
    <w:p w14:paraId="58C87520">
      <w:pPr>
        <w:spacing w:line="500" w:lineRule="exact"/>
        <w:ind w:firstLine="420" w:firstLineChars="200"/>
        <w:jc w:val="left"/>
        <w:rPr>
          <w:rFonts w:ascii="宋体" w:hAnsi="宋体" w:cs="宋体"/>
          <w:color w:val="auto"/>
          <w:kern w:val="2"/>
          <w:szCs w:val="21"/>
          <w:highlight w:val="none"/>
        </w:rPr>
      </w:pPr>
      <w:r>
        <w:rPr>
          <w:rFonts w:hint="eastAsia" w:ascii="宋体" w:hAnsi="宋体" w:cs="宋体"/>
          <w:color w:val="auto"/>
          <w:kern w:val="2"/>
          <w:szCs w:val="21"/>
          <w:highlight w:val="none"/>
        </w:rPr>
        <w:t>本合同金额为（大写）：</w:t>
      </w:r>
      <w:r>
        <w:rPr>
          <w:rFonts w:hint="eastAsia" w:ascii="宋体" w:hAnsi="宋体" w:cs="宋体"/>
          <w:color w:val="auto"/>
          <w:kern w:val="2"/>
          <w:szCs w:val="21"/>
          <w:highlight w:val="none"/>
          <w:u w:val="single"/>
        </w:rPr>
        <w:t xml:space="preserve">          </w:t>
      </w:r>
      <w:r>
        <w:rPr>
          <w:rFonts w:hint="eastAsia" w:ascii="宋体" w:hAnsi="宋体" w:cs="宋体"/>
          <w:color w:val="auto"/>
          <w:szCs w:val="21"/>
          <w:highlight w:val="none"/>
          <w:u w:val="single"/>
        </w:rPr>
        <w:t>元整</w:t>
      </w:r>
      <w:r>
        <w:rPr>
          <w:rFonts w:hint="eastAsia" w:ascii="宋体" w:hAnsi="宋体" w:cs="宋体"/>
          <w:color w:val="auto"/>
          <w:kern w:val="2"/>
          <w:szCs w:val="21"/>
          <w:highlight w:val="none"/>
        </w:rPr>
        <w:t>（￥</w:t>
      </w:r>
      <w:r>
        <w:rPr>
          <w:rFonts w:hint="eastAsia" w:ascii="宋体" w:hAnsi="宋体" w:cs="宋体"/>
          <w:color w:val="auto"/>
          <w:kern w:val="2"/>
          <w:szCs w:val="21"/>
          <w:highlight w:val="none"/>
          <w:u w:val="single"/>
        </w:rPr>
        <w:t xml:space="preserve">         </w:t>
      </w:r>
      <w:r>
        <w:rPr>
          <w:rFonts w:hint="eastAsia" w:ascii="宋体" w:hAnsi="宋体" w:cs="宋体"/>
          <w:color w:val="auto"/>
          <w:kern w:val="2"/>
          <w:szCs w:val="21"/>
          <w:highlight w:val="none"/>
        </w:rPr>
        <w:t>元）人民币。</w:t>
      </w:r>
    </w:p>
    <w:p w14:paraId="01091AD5">
      <w:pPr>
        <w:spacing w:line="500" w:lineRule="exact"/>
        <w:ind w:firstLine="420" w:firstLineChars="200"/>
        <w:jc w:val="left"/>
        <w:rPr>
          <w:rFonts w:ascii="宋体" w:hAnsi="宋体" w:cs="宋体"/>
          <w:bCs/>
          <w:color w:val="auto"/>
          <w:kern w:val="2"/>
          <w:szCs w:val="21"/>
          <w:highlight w:val="none"/>
        </w:rPr>
      </w:pPr>
      <w:r>
        <w:rPr>
          <w:rFonts w:hint="eastAsia" w:ascii="宋体" w:hAnsi="宋体" w:cs="宋体"/>
          <w:bCs/>
          <w:color w:val="auto"/>
          <w:kern w:val="2"/>
          <w:szCs w:val="21"/>
          <w:highlight w:val="none"/>
        </w:rPr>
        <w:t>合同价款包括乙方为完成本项目服务可能发生的全部费用及利润和税金等（</w:t>
      </w:r>
      <w:r>
        <w:rPr>
          <w:rFonts w:hint="eastAsia" w:ascii="宋体" w:hAnsi="宋体" w:cs="Arial"/>
          <w:bCs/>
          <w:color w:val="auto"/>
          <w:szCs w:val="21"/>
          <w:highlight w:val="none"/>
        </w:rPr>
        <w:t>包括人员工资、加班费、工作人员差旅费、调研考察、</w:t>
      </w:r>
      <w:r>
        <w:rPr>
          <w:rFonts w:hint="eastAsia" w:ascii="宋体" w:hAnsi="宋体"/>
          <w:color w:val="auto"/>
          <w:szCs w:val="21"/>
          <w:highlight w:val="none"/>
        </w:rPr>
        <w:t>咨询费、研究费、</w:t>
      </w:r>
      <w:r>
        <w:rPr>
          <w:rFonts w:hint="eastAsia" w:ascii="宋体" w:hAnsi="宋体" w:cs="Arial"/>
          <w:bCs/>
          <w:color w:val="auto"/>
          <w:szCs w:val="21"/>
          <w:highlight w:val="none"/>
        </w:rPr>
        <w:t>各项福利、劳动保险、餐费、员工补助、工作人员必要的住宿费、办公费、论证费、各类方案评审费（含专家劳务费、会议组织费）、管理费、为本招标项目提供服务所需的仪器设备、各类耗材、公共耗能费、招标代理费、利润、税金、服务期内政策调整风险费等本项目招标文件规定的全部费用</w:t>
      </w:r>
      <w:r>
        <w:rPr>
          <w:rFonts w:hint="eastAsia" w:ascii="宋体" w:hAnsi="宋体" w:cs="宋体"/>
          <w:color w:val="auto"/>
          <w:szCs w:val="21"/>
          <w:highlight w:val="none"/>
        </w:rPr>
        <w:t>乙方中标后投标报价不再调整。</w:t>
      </w:r>
      <w:r>
        <w:rPr>
          <w:rFonts w:hint="eastAsia" w:ascii="宋体" w:hAnsi="宋体" w:cs="宋体"/>
          <w:bCs/>
          <w:color w:val="auto"/>
          <w:kern w:val="2"/>
          <w:szCs w:val="21"/>
          <w:highlight w:val="none"/>
        </w:rPr>
        <w:t>）</w:t>
      </w:r>
    </w:p>
    <w:p w14:paraId="641A369B">
      <w:pPr>
        <w:spacing w:line="500" w:lineRule="exact"/>
        <w:ind w:firstLine="422" w:firstLineChars="200"/>
        <w:jc w:val="left"/>
        <w:rPr>
          <w:rFonts w:ascii="宋体" w:hAnsi="宋体" w:cs="宋体"/>
          <w:b/>
          <w:color w:val="auto"/>
          <w:kern w:val="2"/>
          <w:szCs w:val="21"/>
          <w:highlight w:val="none"/>
        </w:rPr>
      </w:pPr>
      <w:r>
        <w:rPr>
          <w:rFonts w:hint="eastAsia" w:ascii="宋体" w:hAnsi="宋体" w:cs="宋体"/>
          <w:b/>
          <w:color w:val="auto"/>
          <w:kern w:val="2"/>
          <w:szCs w:val="21"/>
          <w:highlight w:val="none"/>
        </w:rPr>
        <w:t>三、技术资料</w:t>
      </w:r>
    </w:p>
    <w:p w14:paraId="69AFB4CF">
      <w:pPr>
        <w:spacing w:line="500" w:lineRule="exact"/>
        <w:ind w:firstLine="420" w:firstLineChars="200"/>
        <w:jc w:val="left"/>
        <w:rPr>
          <w:rFonts w:ascii="宋体" w:hAnsi="宋体" w:cs="宋体"/>
          <w:bCs/>
          <w:color w:val="auto"/>
          <w:kern w:val="2"/>
          <w:szCs w:val="21"/>
          <w:highlight w:val="none"/>
        </w:rPr>
      </w:pPr>
      <w:r>
        <w:rPr>
          <w:rFonts w:hint="eastAsia" w:ascii="宋体" w:hAnsi="宋体" w:cs="宋体"/>
          <w:bCs/>
          <w:color w:val="auto"/>
          <w:kern w:val="2"/>
          <w:szCs w:val="21"/>
          <w:highlight w:val="none"/>
        </w:rPr>
        <w:t>1.乙方应按招标文件规定的时间向甲方提供使用服务的有关技术资料。</w:t>
      </w:r>
    </w:p>
    <w:p w14:paraId="3A1C6958">
      <w:pPr>
        <w:spacing w:line="500" w:lineRule="exact"/>
        <w:ind w:firstLine="420" w:firstLineChars="200"/>
        <w:jc w:val="left"/>
        <w:rPr>
          <w:rFonts w:ascii="宋体" w:hAnsi="宋体" w:cs="宋体"/>
          <w:bCs/>
          <w:color w:val="auto"/>
          <w:kern w:val="2"/>
          <w:szCs w:val="21"/>
          <w:highlight w:val="none"/>
        </w:rPr>
      </w:pPr>
      <w:r>
        <w:rPr>
          <w:rFonts w:hint="eastAsia" w:ascii="宋体" w:hAnsi="宋体" w:cs="宋体"/>
          <w:bCs/>
          <w:color w:val="auto"/>
          <w:kern w:val="2"/>
          <w:szCs w:val="21"/>
          <w:highlight w:val="none"/>
        </w:rPr>
        <w:t>2.没有甲方事先书面同意，乙方不得将由甲方提供的有关合同或任何合同条文、计划、图纸、或资料提供给与履行本合同无关的任何其他人。即使向履行本合同有关的人员提供，也应注意保密并限于履行合同的必需范围。</w:t>
      </w:r>
    </w:p>
    <w:p w14:paraId="7D88143C">
      <w:pPr>
        <w:spacing w:line="500" w:lineRule="exact"/>
        <w:ind w:firstLine="422" w:firstLineChars="200"/>
        <w:jc w:val="left"/>
        <w:rPr>
          <w:rFonts w:ascii="宋体" w:hAnsi="宋体" w:cs="宋体"/>
          <w:b/>
          <w:color w:val="auto"/>
          <w:kern w:val="2"/>
          <w:szCs w:val="21"/>
          <w:highlight w:val="none"/>
        </w:rPr>
      </w:pPr>
      <w:r>
        <w:rPr>
          <w:rFonts w:hint="eastAsia" w:ascii="宋体" w:hAnsi="宋体" w:cs="宋体"/>
          <w:b/>
          <w:color w:val="auto"/>
          <w:kern w:val="2"/>
          <w:szCs w:val="21"/>
          <w:highlight w:val="none"/>
        </w:rPr>
        <w:t>四、知识产权</w:t>
      </w:r>
    </w:p>
    <w:p w14:paraId="76B6BFB1">
      <w:pPr>
        <w:spacing w:line="500" w:lineRule="exact"/>
        <w:ind w:firstLine="420" w:firstLineChars="200"/>
        <w:jc w:val="left"/>
        <w:rPr>
          <w:rFonts w:ascii="宋体" w:hAnsi="宋体" w:cs="宋体"/>
          <w:bCs/>
          <w:color w:val="auto"/>
          <w:kern w:val="2"/>
          <w:szCs w:val="21"/>
          <w:highlight w:val="none"/>
        </w:rPr>
      </w:pPr>
      <w:r>
        <w:rPr>
          <w:rFonts w:hint="eastAsia" w:ascii="宋体" w:hAnsi="宋体" w:cs="宋体"/>
          <w:color w:val="auto"/>
          <w:kern w:val="2"/>
          <w:szCs w:val="21"/>
          <w:highlight w:val="none"/>
        </w:rPr>
        <w:t>乙方应保证所提供的服务或其任何一部分均不会侵犯任何第三方的知识产权</w:t>
      </w:r>
      <w:r>
        <w:rPr>
          <w:rFonts w:hint="eastAsia" w:ascii="宋体" w:hAnsi="宋体" w:cs="宋体"/>
          <w:bCs/>
          <w:color w:val="auto"/>
          <w:kern w:val="2"/>
          <w:szCs w:val="21"/>
          <w:highlight w:val="none"/>
        </w:rPr>
        <w:t>。</w:t>
      </w:r>
    </w:p>
    <w:p w14:paraId="4DF89612">
      <w:pPr>
        <w:spacing w:line="500" w:lineRule="exact"/>
        <w:ind w:firstLine="422" w:firstLineChars="200"/>
        <w:jc w:val="left"/>
        <w:rPr>
          <w:rFonts w:ascii="宋体" w:hAnsi="宋体" w:cs="宋体"/>
          <w:color w:val="auto"/>
          <w:kern w:val="2"/>
          <w:szCs w:val="21"/>
          <w:highlight w:val="none"/>
          <w:u w:val="single"/>
        </w:rPr>
      </w:pPr>
      <w:r>
        <w:rPr>
          <w:rFonts w:hint="eastAsia" w:ascii="宋体" w:hAnsi="宋体" w:cs="宋体"/>
          <w:b/>
          <w:color w:val="auto"/>
          <w:kern w:val="2"/>
          <w:szCs w:val="21"/>
          <w:highlight w:val="none"/>
        </w:rPr>
        <w:t>五、产权担保</w:t>
      </w:r>
    </w:p>
    <w:p w14:paraId="5635E7CE">
      <w:pPr>
        <w:spacing w:line="500" w:lineRule="exact"/>
        <w:ind w:firstLine="420" w:firstLineChars="200"/>
        <w:jc w:val="left"/>
        <w:rPr>
          <w:rFonts w:ascii="宋体" w:hAnsi="宋体" w:cs="宋体"/>
          <w:color w:val="auto"/>
          <w:kern w:val="2"/>
          <w:szCs w:val="21"/>
          <w:highlight w:val="none"/>
          <w:u w:val="single"/>
        </w:rPr>
      </w:pPr>
      <w:r>
        <w:rPr>
          <w:rFonts w:hint="eastAsia" w:ascii="宋体" w:hAnsi="宋体" w:cs="宋体"/>
          <w:color w:val="auto"/>
          <w:kern w:val="2"/>
          <w:szCs w:val="21"/>
          <w:highlight w:val="none"/>
        </w:rPr>
        <w:t>乙方保证所交付的成果的所有权完全属于乙方且无任何抵押、查封等产权瑕疵。</w:t>
      </w:r>
    </w:p>
    <w:p w14:paraId="3FD3C05D">
      <w:pPr>
        <w:spacing w:line="500" w:lineRule="exact"/>
        <w:ind w:firstLine="422" w:firstLineChars="200"/>
        <w:jc w:val="left"/>
        <w:rPr>
          <w:rFonts w:ascii="宋体" w:hAnsi="宋体" w:cs="宋体"/>
          <w:b/>
          <w:color w:val="auto"/>
          <w:kern w:val="2"/>
          <w:szCs w:val="21"/>
          <w:highlight w:val="none"/>
        </w:rPr>
      </w:pPr>
      <w:r>
        <w:rPr>
          <w:rFonts w:hint="eastAsia" w:ascii="宋体" w:hAnsi="宋体" w:cs="宋体"/>
          <w:b/>
          <w:color w:val="auto"/>
          <w:kern w:val="2"/>
          <w:szCs w:val="21"/>
          <w:highlight w:val="none"/>
        </w:rPr>
        <w:t>六、转包或分包</w:t>
      </w:r>
    </w:p>
    <w:p w14:paraId="4FE96C04">
      <w:pPr>
        <w:spacing w:line="500" w:lineRule="exact"/>
        <w:ind w:firstLine="420" w:firstLineChars="200"/>
        <w:jc w:val="left"/>
        <w:rPr>
          <w:rFonts w:ascii="宋体" w:hAnsi="宋体" w:cs="宋体"/>
          <w:bCs/>
          <w:color w:val="auto"/>
          <w:kern w:val="2"/>
          <w:szCs w:val="21"/>
          <w:highlight w:val="none"/>
        </w:rPr>
      </w:pPr>
      <w:r>
        <w:rPr>
          <w:rFonts w:hint="eastAsia" w:ascii="宋体" w:hAnsi="宋体" w:cs="宋体"/>
          <w:bCs/>
          <w:color w:val="auto"/>
          <w:kern w:val="2"/>
          <w:szCs w:val="21"/>
          <w:highlight w:val="none"/>
        </w:rPr>
        <w:t>1.本合同范围的服务，应由乙方直接提供，不得转让他人提供；</w:t>
      </w:r>
    </w:p>
    <w:p w14:paraId="274511B0">
      <w:pPr>
        <w:spacing w:line="500" w:lineRule="exact"/>
        <w:ind w:firstLine="420" w:firstLineChars="200"/>
        <w:jc w:val="left"/>
        <w:rPr>
          <w:rFonts w:ascii="宋体" w:hAnsi="宋体" w:cs="宋体"/>
          <w:bCs/>
          <w:color w:val="auto"/>
          <w:kern w:val="2"/>
          <w:szCs w:val="21"/>
          <w:highlight w:val="none"/>
        </w:rPr>
      </w:pPr>
      <w:r>
        <w:rPr>
          <w:rFonts w:hint="eastAsia" w:ascii="宋体" w:hAnsi="宋体" w:cs="宋体"/>
          <w:bCs/>
          <w:color w:val="auto"/>
          <w:kern w:val="2"/>
          <w:szCs w:val="21"/>
          <w:highlight w:val="none"/>
        </w:rPr>
        <w:t>2.除非得到甲方的书面同意，乙方不得将本合同范围的主要服务内容分包给他人提供；</w:t>
      </w:r>
    </w:p>
    <w:p w14:paraId="5B2DD0D2">
      <w:pPr>
        <w:spacing w:line="500" w:lineRule="exact"/>
        <w:ind w:firstLine="420" w:firstLineChars="200"/>
        <w:jc w:val="left"/>
        <w:rPr>
          <w:rFonts w:ascii="宋体" w:hAnsi="宋体" w:cs="宋体"/>
          <w:bCs/>
          <w:color w:val="auto"/>
          <w:kern w:val="2"/>
          <w:szCs w:val="21"/>
          <w:highlight w:val="none"/>
        </w:rPr>
      </w:pPr>
      <w:r>
        <w:rPr>
          <w:rFonts w:hint="eastAsia" w:ascii="宋体" w:hAnsi="宋体" w:cs="宋体"/>
          <w:bCs/>
          <w:color w:val="auto"/>
          <w:kern w:val="2"/>
          <w:szCs w:val="21"/>
          <w:highlight w:val="none"/>
        </w:rPr>
        <w:t>3.如有主要服务内容转让、分包的行为，甲方有权解除合同，并追究乙方的违约责任。</w:t>
      </w:r>
    </w:p>
    <w:p w14:paraId="18CEB7E0">
      <w:pPr>
        <w:spacing w:line="500" w:lineRule="exact"/>
        <w:ind w:firstLine="422" w:firstLineChars="200"/>
        <w:jc w:val="left"/>
        <w:rPr>
          <w:rFonts w:ascii="宋体" w:hAnsi="宋体" w:cs="宋体"/>
          <w:b/>
          <w:color w:val="auto"/>
          <w:kern w:val="2"/>
          <w:szCs w:val="21"/>
          <w:highlight w:val="none"/>
        </w:rPr>
      </w:pPr>
      <w:r>
        <w:rPr>
          <w:rFonts w:hint="eastAsia" w:ascii="宋体" w:hAnsi="宋体" w:cs="宋体"/>
          <w:b/>
          <w:color w:val="auto"/>
          <w:kern w:val="2"/>
          <w:szCs w:val="21"/>
          <w:highlight w:val="none"/>
        </w:rPr>
        <w:t>七、合同履行期限、服务地点、履约保证金</w:t>
      </w:r>
    </w:p>
    <w:p w14:paraId="4A876544">
      <w:pPr>
        <w:spacing w:line="500" w:lineRule="exact"/>
        <w:ind w:firstLine="420" w:firstLineChars="200"/>
        <w:jc w:val="left"/>
        <w:rPr>
          <w:rFonts w:ascii="宋体" w:hAnsi="宋体" w:cs="宋体"/>
          <w:bCs/>
          <w:color w:val="auto"/>
          <w:kern w:val="2"/>
          <w:szCs w:val="21"/>
          <w:highlight w:val="none"/>
        </w:rPr>
      </w:pPr>
      <w:r>
        <w:rPr>
          <w:rFonts w:hint="eastAsia" w:ascii="宋体" w:hAnsi="宋体" w:cs="宋体"/>
          <w:bCs/>
          <w:color w:val="auto"/>
          <w:kern w:val="2"/>
          <w:szCs w:val="21"/>
          <w:highlight w:val="none"/>
        </w:rPr>
        <w:t>1.合同履行期限：</w:t>
      </w:r>
      <w:r>
        <w:rPr>
          <w:rFonts w:hint="eastAsia" w:ascii="宋体" w:hAnsi="宋体"/>
          <w:color w:val="auto"/>
          <w:szCs w:val="21"/>
          <w:highlight w:val="none"/>
        </w:rPr>
        <w:t>规划编制服务期1年，</w:t>
      </w:r>
      <w:r>
        <w:rPr>
          <w:rFonts w:hint="eastAsia" w:ascii="宋体" w:hAnsi="宋体" w:cs="宋体"/>
          <w:color w:val="auto"/>
          <w:szCs w:val="21"/>
          <w:highlight w:val="none"/>
          <w:shd w:val="clear" w:color="auto" w:fill="FFFFFF"/>
        </w:rPr>
        <w:t>后续服务期</w:t>
      </w:r>
      <w:r>
        <w:rPr>
          <w:rFonts w:hint="eastAsia" w:ascii="宋体" w:hAnsi="宋体" w:cs="宋体"/>
          <w:color w:val="auto"/>
          <w:szCs w:val="21"/>
          <w:highlight w:val="none"/>
          <w:shd w:val="clear" w:color="auto" w:fill="FFFFFF"/>
          <w:lang w:val="en-US" w:eastAsia="zh-CN"/>
        </w:rPr>
        <w:t>至2035年</w:t>
      </w:r>
      <w:r>
        <w:rPr>
          <w:rFonts w:hint="eastAsia" w:ascii="宋体" w:hAnsi="宋体" w:cs="宋体"/>
          <w:color w:val="auto"/>
          <w:szCs w:val="21"/>
          <w:highlight w:val="none"/>
          <w:shd w:val="clear" w:color="auto" w:fill="FFFFFF"/>
        </w:rPr>
        <w:t>。</w:t>
      </w:r>
    </w:p>
    <w:p w14:paraId="4F597424">
      <w:pPr>
        <w:spacing w:line="500" w:lineRule="exact"/>
        <w:ind w:firstLine="420" w:firstLineChars="200"/>
        <w:jc w:val="left"/>
        <w:rPr>
          <w:rFonts w:ascii="宋体" w:hAnsi="宋体" w:cs="宋体"/>
          <w:bCs/>
          <w:color w:val="auto"/>
          <w:kern w:val="2"/>
          <w:szCs w:val="21"/>
          <w:highlight w:val="none"/>
        </w:rPr>
      </w:pPr>
      <w:r>
        <w:rPr>
          <w:rFonts w:hint="eastAsia" w:ascii="宋体" w:hAnsi="宋体" w:cs="宋体"/>
          <w:bCs/>
          <w:color w:val="auto"/>
          <w:kern w:val="2"/>
          <w:szCs w:val="21"/>
          <w:highlight w:val="none"/>
        </w:rPr>
        <w:t>2.服务地点：以甲方指定区域为准</w:t>
      </w:r>
    </w:p>
    <w:p w14:paraId="0BAB477B">
      <w:pPr>
        <w:spacing w:line="500" w:lineRule="exact"/>
        <w:ind w:firstLine="420" w:firstLineChars="200"/>
        <w:jc w:val="left"/>
        <w:rPr>
          <w:rFonts w:ascii="宋体" w:hAnsi="宋体"/>
          <w:bCs/>
          <w:color w:val="auto"/>
          <w:szCs w:val="21"/>
          <w:highlight w:val="none"/>
        </w:rPr>
      </w:pPr>
      <w:r>
        <w:rPr>
          <w:rFonts w:hint="eastAsia" w:ascii="宋体" w:hAnsi="宋体" w:cs="宋体"/>
          <w:color w:val="auto"/>
          <w:szCs w:val="21"/>
          <w:highlight w:val="none"/>
        </w:rPr>
        <w:t>3.</w:t>
      </w:r>
      <w:r>
        <w:rPr>
          <w:rFonts w:hint="eastAsia" w:ascii="宋体" w:hAnsi="宋体"/>
          <w:bCs/>
          <w:color w:val="auto"/>
          <w:szCs w:val="21"/>
          <w:highlight w:val="none"/>
        </w:rPr>
        <w:t>乙方在签订合同前，须向甲方交纳</w:t>
      </w:r>
      <w:r>
        <w:rPr>
          <w:rFonts w:hint="eastAsia" w:ascii="宋体" w:hAnsi="宋体"/>
          <w:bCs/>
          <w:color w:val="auto"/>
          <w:szCs w:val="21"/>
          <w:highlight w:val="none"/>
          <w:u w:val="single"/>
        </w:rPr>
        <w:t xml:space="preserve">  中标价</w:t>
      </w:r>
      <w:r>
        <w:rPr>
          <w:rFonts w:ascii="宋体" w:hAnsi="宋体"/>
          <w:bCs/>
          <w:color w:val="auto"/>
          <w:szCs w:val="21"/>
          <w:highlight w:val="none"/>
          <w:u w:val="single"/>
        </w:rPr>
        <w:t>10</w:t>
      </w:r>
      <w:r>
        <w:rPr>
          <w:rFonts w:hint="eastAsia" w:ascii="宋体" w:hAnsi="宋体"/>
          <w:bCs/>
          <w:color w:val="auto"/>
          <w:szCs w:val="21"/>
          <w:highlight w:val="none"/>
          <w:u w:val="single"/>
        </w:rPr>
        <w:t xml:space="preserve">%  </w:t>
      </w:r>
      <w:r>
        <w:rPr>
          <w:rFonts w:hint="eastAsia" w:ascii="宋体" w:hAnsi="宋体"/>
          <w:bCs/>
          <w:color w:val="auto"/>
          <w:szCs w:val="21"/>
          <w:highlight w:val="none"/>
        </w:rPr>
        <w:t>的履约保证金，验收合格且甲方收到发票后30日内无息退还。履约保证金用以约束乙方在合同履行中的行为，弥补合同执行中由于自身行为可能给甲方带来的各种损失。对提供第三方信用服务机构依据标准规范评定为AA级及以上的政府采购供应商（须在签订采购合同前提供信用管理部门备案的第三方信用报告，且信用报告通过“信用盐城网”可查实）</w:t>
      </w:r>
      <w:r>
        <w:rPr>
          <w:rFonts w:hint="eastAsia" w:ascii="宋体" w:hAnsi="宋体"/>
          <w:b/>
          <w:bCs/>
          <w:color w:val="auto"/>
          <w:szCs w:val="21"/>
          <w:highlight w:val="none"/>
        </w:rPr>
        <w:t>免交履约保证金</w:t>
      </w:r>
      <w:r>
        <w:rPr>
          <w:rFonts w:hint="eastAsia" w:ascii="宋体" w:hAnsi="宋体"/>
          <w:bCs/>
          <w:color w:val="auto"/>
          <w:szCs w:val="21"/>
          <w:highlight w:val="none"/>
        </w:rPr>
        <w:t>。</w:t>
      </w:r>
    </w:p>
    <w:p w14:paraId="3A915C52">
      <w:pPr>
        <w:spacing w:line="500" w:lineRule="exact"/>
        <w:ind w:firstLine="420" w:firstLineChars="200"/>
        <w:jc w:val="left"/>
        <w:rPr>
          <w:rFonts w:ascii="宋体" w:hAnsi="宋体" w:cs="宋体"/>
          <w:color w:val="auto"/>
          <w:szCs w:val="21"/>
          <w:highlight w:val="none"/>
        </w:rPr>
      </w:pPr>
      <w:r>
        <w:rPr>
          <w:rFonts w:hint="eastAsia" w:ascii="宋体" w:hAnsi="宋体"/>
          <w:bCs/>
          <w:color w:val="auto"/>
          <w:szCs w:val="21"/>
          <w:highlight w:val="none"/>
        </w:rPr>
        <w:t>履约保证金形式：供应商应当以支票、汇票、本票或者金融机构、担保机构出具的保函等非现金形式提交，</w:t>
      </w:r>
      <w:r>
        <w:rPr>
          <w:rFonts w:hint="eastAsia" w:ascii="宋体" w:hAnsi="宋体"/>
          <w:color w:val="auto"/>
          <w:highlight w:val="none"/>
        </w:rPr>
        <w:t>依据《关于在全省政府采购领域推行电子履约保函（保险）的通知》，鼓励供应商自愿使用履约保函（保险）代替缴纳履约保证金），</w:t>
      </w:r>
      <w:r>
        <w:rPr>
          <w:rFonts w:hint="eastAsia" w:ascii="宋体" w:hAnsi="宋体"/>
          <w:color w:val="auto"/>
          <w:szCs w:val="21"/>
          <w:highlight w:val="none"/>
        </w:rPr>
        <w:t>供应商可登录江苏政府采购网“资料下载”栏目（网址：www.ccgp-jiangsu.gov.cn/jiangsu/zlxz）下载“政府采购电子履约保函（保险）操作手册”</w:t>
      </w:r>
      <w:r>
        <w:rPr>
          <w:rFonts w:hint="eastAsia" w:ascii="宋体" w:hAnsi="宋体"/>
          <w:bCs/>
          <w:color w:val="auto"/>
          <w:szCs w:val="21"/>
          <w:highlight w:val="none"/>
        </w:rPr>
        <w:t>。</w:t>
      </w:r>
    </w:p>
    <w:p w14:paraId="17683E89">
      <w:pPr>
        <w:spacing w:line="500" w:lineRule="exact"/>
        <w:ind w:firstLine="420" w:firstLineChars="200"/>
        <w:jc w:val="left"/>
        <w:rPr>
          <w:rFonts w:ascii="宋体" w:hAnsi="宋体" w:cs="宋体"/>
          <w:color w:val="auto"/>
          <w:szCs w:val="21"/>
          <w:highlight w:val="none"/>
        </w:rPr>
      </w:pPr>
      <w:r>
        <w:rPr>
          <w:rFonts w:hint="eastAsia" w:ascii="宋体" w:hAnsi="宋体" w:cs="宋体"/>
          <w:color w:val="auto"/>
          <w:szCs w:val="21"/>
          <w:highlight w:val="none"/>
        </w:rPr>
        <w:t>3.1、合同履行结束后，甲方应及时退还交纳的履约保证金。</w:t>
      </w:r>
    </w:p>
    <w:p w14:paraId="23B32FBF">
      <w:pPr>
        <w:spacing w:line="500" w:lineRule="exact"/>
        <w:ind w:firstLine="420" w:firstLineChars="200"/>
        <w:jc w:val="left"/>
        <w:rPr>
          <w:rFonts w:ascii="宋体" w:hAnsi="宋体" w:cs="宋体"/>
          <w:color w:val="auto"/>
          <w:szCs w:val="21"/>
          <w:highlight w:val="none"/>
        </w:rPr>
      </w:pPr>
      <w:r>
        <w:rPr>
          <w:rFonts w:hint="eastAsia" w:ascii="宋体" w:hAnsi="宋体" w:cs="宋体"/>
          <w:color w:val="auto"/>
          <w:szCs w:val="21"/>
          <w:highlight w:val="none"/>
        </w:rPr>
        <w:t>3.2、履约保证金的退还：</w:t>
      </w:r>
    </w:p>
    <w:p w14:paraId="253D2254">
      <w:pPr>
        <w:spacing w:line="500" w:lineRule="exact"/>
        <w:ind w:firstLine="420" w:firstLineChars="200"/>
        <w:jc w:val="left"/>
        <w:rPr>
          <w:rFonts w:ascii="宋体" w:hAnsi="宋体" w:cs="宋体"/>
          <w:color w:val="auto"/>
          <w:szCs w:val="21"/>
          <w:highlight w:val="none"/>
        </w:rPr>
      </w:pPr>
      <w:r>
        <w:rPr>
          <w:rFonts w:hint="eastAsia" w:ascii="宋体" w:hAnsi="宋体" w:cs="宋体"/>
          <w:color w:val="auto"/>
          <w:szCs w:val="21"/>
          <w:highlight w:val="none"/>
        </w:rPr>
        <w:t>3.2.1方式：无息退还至投标人缴纳履约保证金的账户。如为保函，在到期时自行失效。</w:t>
      </w:r>
    </w:p>
    <w:p w14:paraId="01185EEB">
      <w:pPr>
        <w:spacing w:line="500" w:lineRule="exact"/>
        <w:ind w:firstLine="420" w:firstLineChars="200"/>
        <w:jc w:val="left"/>
        <w:rPr>
          <w:rFonts w:ascii="宋体" w:hAnsi="宋体" w:cs="宋体"/>
          <w:color w:val="auto"/>
          <w:szCs w:val="21"/>
          <w:highlight w:val="none"/>
        </w:rPr>
      </w:pPr>
      <w:r>
        <w:rPr>
          <w:rFonts w:hint="eastAsia" w:ascii="宋体" w:hAnsi="宋体" w:cs="宋体"/>
          <w:color w:val="auto"/>
          <w:szCs w:val="21"/>
          <w:highlight w:val="none"/>
        </w:rPr>
        <w:t>3.2.2时间：验收合格且甲方收到发票后30日内</w:t>
      </w:r>
      <w:r>
        <w:rPr>
          <w:rFonts w:hint="eastAsia" w:ascii="宋体" w:hAnsi="宋体"/>
          <w:bCs/>
          <w:color w:val="auto"/>
          <w:szCs w:val="21"/>
          <w:highlight w:val="none"/>
        </w:rPr>
        <w:t>无息退还</w:t>
      </w:r>
      <w:r>
        <w:rPr>
          <w:rFonts w:hint="eastAsia" w:ascii="宋体" w:hAnsi="宋体" w:cs="宋体"/>
          <w:color w:val="auto"/>
          <w:szCs w:val="21"/>
          <w:highlight w:val="none"/>
        </w:rPr>
        <w:t>。</w:t>
      </w:r>
    </w:p>
    <w:p w14:paraId="4DEAC80F">
      <w:pPr>
        <w:spacing w:line="500" w:lineRule="exact"/>
        <w:ind w:firstLine="420" w:firstLineChars="200"/>
        <w:jc w:val="left"/>
        <w:rPr>
          <w:rFonts w:ascii="宋体" w:hAnsi="宋体" w:cs="宋体"/>
          <w:color w:val="auto"/>
          <w:szCs w:val="21"/>
          <w:highlight w:val="none"/>
        </w:rPr>
      </w:pPr>
      <w:r>
        <w:rPr>
          <w:rFonts w:hint="eastAsia" w:ascii="宋体" w:hAnsi="宋体" w:cs="宋体"/>
          <w:color w:val="auto"/>
          <w:szCs w:val="21"/>
          <w:highlight w:val="none"/>
        </w:rPr>
        <w:t>3.2.3条件：按合同要求全部履约完成并经甲方验收合格，且甲方收到乙方出具的发票。</w:t>
      </w:r>
    </w:p>
    <w:p w14:paraId="0B86A8CC">
      <w:pPr>
        <w:spacing w:line="500" w:lineRule="exact"/>
        <w:ind w:firstLine="420" w:firstLineChars="200"/>
        <w:jc w:val="left"/>
        <w:rPr>
          <w:rFonts w:ascii="宋体" w:hAnsi="宋体" w:cs="宋体"/>
          <w:color w:val="auto"/>
          <w:szCs w:val="21"/>
          <w:highlight w:val="none"/>
        </w:rPr>
      </w:pPr>
      <w:r>
        <w:rPr>
          <w:rFonts w:hint="eastAsia" w:ascii="宋体" w:hAnsi="宋体" w:cs="宋体"/>
          <w:color w:val="auto"/>
          <w:szCs w:val="21"/>
          <w:highlight w:val="none"/>
        </w:rPr>
        <w:t>3.2.4不予退还情形：</w:t>
      </w:r>
    </w:p>
    <w:p w14:paraId="165035BD">
      <w:pPr>
        <w:spacing w:line="500" w:lineRule="exact"/>
        <w:ind w:firstLine="420" w:firstLineChars="200"/>
        <w:jc w:val="left"/>
        <w:rPr>
          <w:rFonts w:ascii="宋体" w:hAnsi="宋体" w:cs="宋体"/>
          <w:color w:val="auto"/>
          <w:szCs w:val="21"/>
          <w:highlight w:val="none"/>
        </w:rPr>
      </w:pPr>
      <w:r>
        <w:rPr>
          <w:rFonts w:hint="eastAsia" w:ascii="宋体" w:hAnsi="宋体" w:cs="宋体"/>
          <w:color w:val="auto"/>
          <w:szCs w:val="21"/>
          <w:highlight w:val="none"/>
        </w:rPr>
        <w:t>除不可抗力情况外，乙方出现下列情形之一的，其履约保证金，甲方将视情节决定不予退还或部分不予退还。</w:t>
      </w:r>
    </w:p>
    <w:p w14:paraId="69216213">
      <w:pPr>
        <w:spacing w:line="500" w:lineRule="exact"/>
        <w:ind w:firstLine="420" w:firstLineChars="200"/>
        <w:jc w:val="left"/>
        <w:rPr>
          <w:rFonts w:ascii="宋体" w:hAnsi="宋体" w:cs="宋体"/>
          <w:color w:val="auto"/>
          <w:szCs w:val="21"/>
          <w:highlight w:val="none"/>
        </w:rPr>
      </w:pPr>
      <w:r>
        <w:rPr>
          <w:rFonts w:hint="eastAsia" w:ascii="宋体" w:hAnsi="宋体" w:cs="宋体"/>
          <w:color w:val="auto"/>
          <w:szCs w:val="21"/>
          <w:highlight w:val="none"/>
        </w:rPr>
        <w:t>（1）乙方无正当理由拒绝签订合同的，或者在签订合同时向甲方提出附加条件或者更改合同实质性内容要求的；</w:t>
      </w:r>
    </w:p>
    <w:p w14:paraId="6B7129D9">
      <w:pPr>
        <w:overflowPunct w:val="0"/>
        <w:autoSpaceDE w:val="0"/>
        <w:autoSpaceDN w:val="0"/>
        <w:spacing w:line="500" w:lineRule="exact"/>
        <w:ind w:firstLine="420" w:firstLineChars="200"/>
        <w:jc w:val="left"/>
        <w:rPr>
          <w:rFonts w:ascii="宋体" w:hAnsi="宋体" w:cs="宋体"/>
          <w:color w:val="auto"/>
          <w:szCs w:val="21"/>
          <w:highlight w:val="none"/>
        </w:rPr>
      </w:pPr>
      <w:r>
        <w:rPr>
          <w:rFonts w:hint="eastAsia" w:ascii="宋体" w:hAnsi="宋体" w:cs="宋体"/>
          <w:color w:val="auto"/>
          <w:szCs w:val="21"/>
          <w:highlight w:val="none"/>
        </w:rPr>
        <w:t>（2）乙方不履行与甲方订立的合同的；</w:t>
      </w:r>
    </w:p>
    <w:p w14:paraId="242A22B3">
      <w:pPr>
        <w:overflowPunct w:val="0"/>
        <w:autoSpaceDE w:val="0"/>
        <w:autoSpaceDN w:val="0"/>
        <w:spacing w:line="500" w:lineRule="exact"/>
        <w:ind w:firstLine="420" w:firstLineChars="200"/>
        <w:jc w:val="left"/>
        <w:rPr>
          <w:rFonts w:ascii="宋体" w:hAnsi="宋体" w:cs="宋体"/>
          <w:color w:val="auto"/>
          <w:szCs w:val="21"/>
          <w:highlight w:val="none"/>
        </w:rPr>
      </w:pPr>
      <w:r>
        <w:rPr>
          <w:rFonts w:hint="eastAsia" w:ascii="宋体" w:hAnsi="宋体" w:cs="宋体"/>
          <w:color w:val="auto"/>
          <w:szCs w:val="21"/>
          <w:highlight w:val="none"/>
        </w:rPr>
        <w:t>（3）乙方所供货物或服务不符合招标文件规定要求的；</w:t>
      </w:r>
    </w:p>
    <w:p w14:paraId="0F8290A2">
      <w:pPr>
        <w:overflowPunct w:val="0"/>
        <w:autoSpaceDE w:val="0"/>
        <w:autoSpaceDN w:val="0"/>
        <w:spacing w:line="500" w:lineRule="exact"/>
        <w:ind w:firstLine="420" w:firstLineChars="200"/>
        <w:jc w:val="left"/>
        <w:rPr>
          <w:rFonts w:ascii="宋体" w:hAnsi="宋体" w:cs="宋体"/>
          <w:color w:val="auto"/>
          <w:szCs w:val="21"/>
          <w:highlight w:val="none"/>
        </w:rPr>
      </w:pPr>
      <w:r>
        <w:rPr>
          <w:rFonts w:hint="eastAsia" w:ascii="宋体" w:hAnsi="宋体" w:cs="宋体"/>
          <w:color w:val="auto"/>
          <w:szCs w:val="21"/>
          <w:highlight w:val="none"/>
        </w:rPr>
        <w:t>（4）乙方采取欺骗、弄虚作假方式投标的或与其它投标人串通投标的；</w:t>
      </w:r>
    </w:p>
    <w:p w14:paraId="3677C2F0">
      <w:pPr>
        <w:overflowPunct w:val="0"/>
        <w:autoSpaceDE w:val="0"/>
        <w:autoSpaceDN w:val="0"/>
        <w:spacing w:line="500" w:lineRule="exact"/>
        <w:ind w:firstLine="420" w:firstLineChars="200"/>
        <w:jc w:val="left"/>
        <w:rPr>
          <w:rFonts w:ascii="宋体" w:hAnsi="宋体" w:cs="宋体"/>
          <w:color w:val="auto"/>
          <w:szCs w:val="21"/>
          <w:highlight w:val="none"/>
        </w:rPr>
      </w:pPr>
      <w:r>
        <w:rPr>
          <w:rFonts w:hint="eastAsia" w:ascii="宋体" w:hAnsi="宋体" w:cs="宋体"/>
          <w:color w:val="auto"/>
          <w:szCs w:val="21"/>
          <w:highlight w:val="none"/>
        </w:rPr>
        <w:t>（5）乙方将合同内容转包、违法分包的；</w:t>
      </w:r>
    </w:p>
    <w:p w14:paraId="278278CC">
      <w:pPr>
        <w:spacing w:line="500" w:lineRule="exact"/>
        <w:ind w:firstLine="420" w:firstLineChars="200"/>
        <w:jc w:val="left"/>
        <w:rPr>
          <w:rFonts w:ascii="宋体" w:hAnsi="宋体" w:cs="宋体"/>
          <w:color w:val="auto"/>
          <w:szCs w:val="21"/>
          <w:highlight w:val="none"/>
        </w:rPr>
      </w:pPr>
      <w:r>
        <w:rPr>
          <w:rFonts w:hint="eastAsia" w:ascii="宋体" w:hAnsi="宋体" w:cs="宋体"/>
          <w:color w:val="auto"/>
          <w:szCs w:val="21"/>
          <w:highlight w:val="none"/>
        </w:rPr>
        <w:t>（6）乙方故意捏造事实或伪造证明材料，进行虚假恶意投诉或反映的。</w:t>
      </w:r>
    </w:p>
    <w:p w14:paraId="5BFF1A2A">
      <w:pPr>
        <w:spacing w:line="500" w:lineRule="exact"/>
        <w:ind w:firstLine="420" w:firstLineChars="200"/>
        <w:jc w:val="left"/>
        <w:rPr>
          <w:rFonts w:ascii="宋体" w:hAnsi="宋体" w:cs="宋体"/>
          <w:b/>
          <w:color w:val="auto"/>
          <w:kern w:val="2"/>
          <w:szCs w:val="21"/>
          <w:highlight w:val="none"/>
        </w:rPr>
      </w:pPr>
      <w:r>
        <w:rPr>
          <w:rFonts w:hint="eastAsia" w:ascii="宋体" w:hAnsi="宋体" w:cs="宋体"/>
          <w:color w:val="auto"/>
          <w:szCs w:val="21"/>
          <w:highlight w:val="none"/>
        </w:rPr>
        <w:t>3.3逾期退还的违约责任：采购人逾期无故未退还履约保证金的，按中国人民银行同期贷款基准利率上浮20%后的利率支付超期资金占用费，但因供应商自身原因导致无法及时退还的除外。</w:t>
      </w:r>
    </w:p>
    <w:p w14:paraId="3145C895">
      <w:pPr>
        <w:spacing w:line="500" w:lineRule="exact"/>
        <w:ind w:firstLine="422" w:firstLineChars="200"/>
        <w:jc w:val="left"/>
        <w:rPr>
          <w:rFonts w:ascii="宋体" w:hAnsi="宋体" w:cs="宋体"/>
          <w:b/>
          <w:color w:val="auto"/>
          <w:kern w:val="2"/>
          <w:szCs w:val="21"/>
          <w:highlight w:val="none"/>
        </w:rPr>
      </w:pPr>
      <w:r>
        <w:rPr>
          <w:rFonts w:hint="eastAsia" w:ascii="宋体" w:hAnsi="宋体" w:cs="宋体"/>
          <w:b/>
          <w:color w:val="auto"/>
          <w:kern w:val="2"/>
          <w:szCs w:val="21"/>
          <w:highlight w:val="none"/>
        </w:rPr>
        <w:t>八</w:t>
      </w:r>
      <w:r>
        <w:rPr>
          <w:rFonts w:hint="eastAsia" w:ascii="宋体" w:hAnsi="宋体" w:cs="宋体"/>
          <w:bCs/>
          <w:color w:val="auto"/>
          <w:kern w:val="2"/>
          <w:szCs w:val="21"/>
          <w:highlight w:val="none"/>
        </w:rPr>
        <w:t>、</w:t>
      </w:r>
      <w:r>
        <w:rPr>
          <w:rFonts w:hint="eastAsia" w:ascii="宋体" w:hAnsi="宋体" w:cs="宋体"/>
          <w:b/>
          <w:color w:val="auto"/>
          <w:kern w:val="2"/>
          <w:szCs w:val="21"/>
          <w:highlight w:val="none"/>
        </w:rPr>
        <w:t>付款支付：</w:t>
      </w:r>
    </w:p>
    <w:p w14:paraId="182A4ABB">
      <w:pPr>
        <w:spacing w:line="500" w:lineRule="exact"/>
        <w:ind w:firstLine="420" w:firstLineChars="200"/>
        <w:jc w:val="left"/>
        <w:rPr>
          <w:rFonts w:ascii="宋体" w:hAnsi="宋体" w:cs="宋体"/>
          <w:bCs/>
          <w:color w:val="auto"/>
          <w:kern w:val="2"/>
          <w:szCs w:val="21"/>
          <w:highlight w:val="none"/>
        </w:rPr>
      </w:pPr>
      <w:r>
        <w:rPr>
          <w:rFonts w:hint="eastAsia" w:ascii="宋体" w:hAnsi="宋体" w:cs="宋体"/>
          <w:bCs/>
          <w:color w:val="auto"/>
          <w:kern w:val="2"/>
          <w:szCs w:val="21"/>
          <w:highlight w:val="none"/>
        </w:rPr>
        <w:t>合同签订后由乙方向甲方申请预支付合同价款的30%，待提交初步规划成果文件并经评审后，支付至合同价款的60%，提交正式规划成果文件后付清余款。</w:t>
      </w:r>
    </w:p>
    <w:p w14:paraId="70E5E5BC">
      <w:pPr>
        <w:spacing w:line="500" w:lineRule="exact"/>
        <w:ind w:firstLine="420" w:firstLineChars="200"/>
        <w:jc w:val="left"/>
        <w:rPr>
          <w:rFonts w:ascii="宋体" w:hAnsi="宋体" w:cs="宋体"/>
          <w:bCs/>
          <w:color w:val="auto"/>
          <w:kern w:val="2"/>
          <w:szCs w:val="21"/>
          <w:highlight w:val="none"/>
        </w:rPr>
      </w:pPr>
      <w:r>
        <w:rPr>
          <w:rFonts w:hint="eastAsia" w:ascii="宋体" w:hAnsi="宋体" w:cs="宋体"/>
          <w:bCs/>
          <w:color w:val="auto"/>
          <w:kern w:val="2"/>
          <w:szCs w:val="21"/>
          <w:highlight w:val="none"/>
        </w:rPr>
        <w:t>以上付款均无银行利息，且乙方需提供相应金额的有效票据；</w:t>
      </w:r>
    </w:p>
    <w:p w14:paraId="58BF58C5">
      <w:pPr>
        <w:spacing w:line="500" w:lineRule="exact"/>
        <w:ind w:firstLine="420" w:firstLineChars="200"/>
        <w:jc w:val="left"/>
        <w:rPr>
          <w:rFonts w:ascii="宋体" w:hAnsi="宋体" w:cs="宋体"/>
          <w:bCs/>
          <w:color w:val="auto"/>
          <w:kern w:val="2"/>
          <w:szCs w:val="21"/>
          <w:highlight w:val="none"/>
        </w:rPr>
      </w:pPr>
      <w:r>
        <w:rPr>
          <w:rFonts w:hint="eastAsia" w:ascii="宋体" w:hAnsi="宋体" w:cs="宋体"/>
          <w:bCs/>
          <w:color w:val="auto"/>
          <w:kern w:val="2"/>
          <w:szCs w:val="21"/>
          <w:highlight w:val="none"/>
        </w:rPr>
        <w:t>在签订合同时，乙方明确表示无需预付款或者主动要求降低预付款比例的，甲方可不适用上述关于预付款的规定；</w:t>
      </w:r>
    </w:p>
    <w:p w14:paraId="130D11E7">
      <w:pPr>
        <w:spacing w:line="500" w:lineRule="exact"/>
        <w:ind w:firstLine="420" w:firstLineChars="200"/>
        <w:jc w:val="left"/>
        <w:rPr>
          <w:rFonts w:ascii="宋体" w:hAnsi="宋体" w:cs="宋体"/>
          <w:bCs/>
          <w:color w:val="auto"/>
          <w:kern w:val="2"/>
          <w:szCs w:val="21"/>
          <w:highlight w:val="none"/>
        </w:rPr>
      </w:pPr>
      <w:r>
        <w:rPr>
          <w:rFonts w:hint="eastAsia" w:ascii="宋体" w:hAnsi="宋体" w:cs="宋体"/>
          <w:bCs/>
          <w:color w:val="auto"/>
          <w:kern w:val="2"/>
          <w:szCs w:val="21"/>
          <w:highlight w:val="none"/>
        </w:rPr>
        <w:t>合同款一律通过银行非现金结算，结算方式：转账。</w:t>
      </w:r>
    </w:p>
    <w:p w14:paraId="6BB96C1A">
      <w:pPr>
        <w:spacing w:line="500" w:lineRule="exact"/>
        <w:ind w:firstLine="422" w:firstLineChars="200"/>
        <w:jc w:val="left"/>
        <w:rPr>
          <w:rFonts w:ascii="宋体" w:hAnsi="宋体" w:cs="宋体"/>
          <w:b/>
          <w:color w:val="auto"/>
          <w:kern w:val="2"/>
          <w:szCs w:val="21"/>
          <w:highlight w:val="none"/>
        </w:rPr>
      </w:pPr>
      <w:r>
        <w:rPr>
          <w:rFonts w:hint="eastAsia" w:ascii="宋体" w:hAnsi="宋体" w:cs="宋体"/>
          <w:b/>
          <w:color w:val="auto"/>
          <w:kern w:val="2"/>
          <w:szCs w:val="21"/>
          <w:highlight w:val="none"/>
        </w:rPr>
        <w:t>九、税费</w:t>
      </w:r>
    </w:p>
    <w:p w14:paraId="785AA8A7">
      <w:pPr>
        <w:spacing w:line="500" w:lineRule="exact"/>
        <w:ind w:firstLine="420" w:firstLineChars="200"/>
        <w:jc w:val="left"/>
        <w:rPr>
          <w:rFonts w:ascii="宋体" w:hAnsi="宋体" w:cs="宋体"/>
          <w:color w:val="auto"/>
          <w:kern w:val="2"/>
          <w:szCs w:val="21"/>
          <w:highlight w:val="none"/>
        </w:rPr>
      </w:pPr>
      <w:r>
        <w:rPr>
          <w:rFonts w:hint="eastAsia" w:ascii="宋体" w:hAnsi="宋体" w:cs="宋体"/>
          <w:color w:val="auto"/>
          <w:kern w:val="2"/>
          <w:szCs w:val="21"/>
          <w:highlight w:val="none"/>
        </w:rPr>
        <w:t>本合同执行中相关的税费按照国家相关规定执行，由乙方承担。</w:t>
      </w:r>
    </w:p>
    <w:p w14:paraId="5696CCDD">
      <w:pPr>
        <w:spacing w:line="500" w:lineRule="exact"/>
        <w:ind w:firstLine="422" w:firstLineChars="200"/>
        <w:jc w:val="left"/>
        <w:rPr>
          <w:rFonts w:ascii="宋体" w:hAnsi="宋体" w:cs="宋体"/>
          <w:b/>
          <w:color w:val="auto"/>
          <w:kern w:val="2"/>
          <w:szCs w:val="21"/>
          <w:highlight w:val="none"/>
        </w:rPr>
      </w:pPr>
      <w:r>
        <w:rPr>
          <w:rFonts w:hint="eastAsia" w:ascii="宋体" w:hAnsi="宋体" w:cs="宋体"/>
          <w:b/>
          <w:color w:val="auto"/>
          <w:kern w:val="2"/>
          <w:szCs w:val="21"/>
          <w:highlight w:val="none"/>
        </w:rPr>
        <w:t>十、质量保证</w:t>
      </w:r>
    </w:p>
    <w:p w14:paraId="228DB923">
      <w:pPr>
        <w:spacing w:line="500" w:lineRule="exact"/>
        <w:ind w:firstLine="420" w:firstLineChars="200"/>
        <w:jc w:val="left"/>
        <w:rPr>
          <w:rFonts w:ascii="宋体" w:hAnsi="宋体" w:cs="宋体"/>
          <w:bCs/>
          <w:color w:val="auto"/>
          <w:kern w:val="2"/>
          <w:szCs w:val="21"/>
          <w:highlight w:val="none"/>
        </w:rPr>
      </w:pPr>
      <w:r>
        <w:rPr>
          <w:rFonts w:hint="eastAsia" w:ascii="宋体" w:hAnsi="宋体" w:cs="宋体"/>
          <w:bCs/>
          <w:color w:val="auto"/>
          <w:kern w:val="2"/>
          <w:szCs w:val="21"/>
          <w:highlight w:val="none"/>
        </w:rPr>
        <w:t>乙方提供的服务必须全部达到招标文件各项要求，</w:t>
      </w:r>
      <w:r>
        <w:rPr>
          <w:rFonts w:hint="eastAsia" w:ascii="宋体" w:hAnsi="宋体"/>
          <w:color w:val="auto"/>
          <w:szCs w:val="21"/>
          <w:highlight w:val="none"/>
        </w:rPr>
        <w:t>符合国家、省主管部门相关标准</w:t>
      </w:r>
      <w:r>
        <w:rPr>
          <w:rFonts w:hint="eastAsia" w:ascii="宋体" w:hAnsi="宋体" w:cs="宋体"/>
          <w:bCs/>
          <w:color w:val="auto"/>
          <w:kern w:val="2"/>
          <w:szCs w:val="21"/>
          <w:highlight w:val="none"/>
        </w:rPr>
        <w:t>。服务期满前，乙方应根据甲方要求提供完整的文档资料，并配合甲方做好与本项目相关任务的衔接工作。</w:t>
      </w:r>
    </w:p>
    <w:p w14:paraId="1624577A">
      <w:pPr>
        <w:spacing w:line="500" w:lineRule="exact"/>
        <w:ind w:firstLine="422" w:firstLineChars="200"/>
        <w:jc w:val="left"/>
        <w:rPr>
          <w:rFonts w:ascii="宋体" w:hAnsi="宋体" w:cs="宋体"/>
          <w:b/>
          <w:color w:val="auto"/>
          <w:kern w:val="2"/>
          <w:szCs w:val="21"/>
          <w:highlight w:val="none"/>
        </w:rPr>
      </w:pPr>
      <w:r>
        <w:rPr>
          <w:rFonts w:hint="eastAsia" w:ascii="宋体" w:hAnsi="宋体" w:cs="宋体"/>
          <w:b/>
          <w:color w:val="auto"/>
          <w:kern w:val="2"/>
          <w:szCs w:val="21"/>
          <w:highlight w:val="none"/>
        </w:rPr>
        <w:t>十一、研究报告的验收、评价方式</w:t>
      </w:r>
    </w:p>
    <w:p w14:paraId="049F450D">
      <w:pPr>
        <w:spacing w:line="500" w:lineRule="exact"/>
        <w:ind w:firstLine="420" w:firstLineChars="200"/>
        <w:jc w:val="left"/>
        <w:rPr>
          <w:rFonts w:ascii="宋体" w:hAnsi="宋体" w:cs="宋体"/>
          <w:bCs/>
          <w:color w:val="auto"/>
          <w:kern w:val="2"/>
          <w:szCs w:val="21"/>
          <w:highlight w:val="none"/>
        </w:rPr>
      </w:pPr>
      <w:r>
        <w:rPr>
          <w:rFonts w:hint="eastAsia" w:ascii="宋体" w:hAnsi="宋体" w:cs="宋体"/>
          <w:bCs/>
          <w:color w:val="auto"/>
          <w:kern w:val="2"/>
          <w:szCs w:val="21"/>
          <w:highlight w:val="none"/>
        </w:rPr>
        <w:t>研究报告的验收由甲方聘请行业、专家，按照有关规定的形式和程序，对报告进行审查和评价，并作出相应的结论。</w:t>
      </w:r>
    </w:p>
    <w:p w14:paraId="3108FA94">
      <w:pPr>
        <w:spacing w:line="500" w:lineRule="exact"/>
        <w:ind w:firstLine="420" w:firstLineChars="200"/>
        <w:jc w:val="left"/>
        <w:rPr>
          <w:rFonts w:ascii="宋体" w:hAnsi="宋体" w:cs="宋体"/>
          <w:bCs/>
          <w:color w:val="auto"/>
          <w:kern w:val="2"/>
          <w:szCs w:val="21"/>
          <w:highlight w:val="none"/>
        </w:rPr>
      </w:pPr>
      <w:r>
        <w:rPr>
          <w:rFonts w:hint="eastAsia" w:ascii="宋体" w:hAnsi="宋体" w:cs="宋体"/>
          <w:bCs/>
          <w:color w:val="auto"/>
          <w:kern w:val="2"/>
          <w:szCs w:val="21"/>
          <w:highlight w:val="none"/>
        </w:rPr>
        <w:t>乙方须协助甲方完成报告或后续文件的各阶段评审以及报审、报批等工作，报告或后续文件须通过有关部门的审查。</w:t>
      </w:r>
    </w:p>
    <w:p w14:paraId="6843D246">
      <w:pPr>
        <w:spacing w:line="500" w:lineRule="exact"/>
        <w:ind w:firstLine="422" w:firstLineChars="200"/>
        <w:jc w:val="left"/>
        <w:rPr>
          <w:rFonts w:ascii="宋体" w:hAnsi="宋体" w:cs="宋体"/>
          <w:b/>
          <w:color w:val="auto"/>
          <w:kern w:val="2"/>
          <w:szCs w:val="21"/>
          <w:highlight w:val="none"/>
        </w:rPr>
      </w:pPr>
      <w:r>
        <w:rPr>
          <w:rFonts w:hint="eastAsia" w:ascii="宋体" w:hAnsi="宋体" w:cs="宋体"/>
          <w:b/>
          <w:color w:val="auto"/>
          <w:kern w:val="2"/>
          <w:szCs w:val="21"/>
          <w:highlight w:val="none"/>
        </w:rPr>
        <w:t>十二、甲、乙双方的责任</w:t>
      </w:r>
    </w:p>
    <w:p w14:paraId="12F4AB87">
      <w:pPr>
        <w:spacing w:line="500" w:lineRule="exact"/>
        <w:ind w:firstLine="420" w:firstLineChars="200"/>
        <w:jc w:val="left"/>
        <w:rPr>
          <w:rFonts w:ascii="宋体" w:hAnsi="宋体" w:cs="宋体"/>
          <w:bCs/>
          <w:color w:val="auto"/>
          <w:kern w:val="2"/>
          <w:szCs w:val="21"/>
          <w:highlight w:val="none"/>
        </w:rPr>
      </w:pPr>
      <w:r>
        <w:rPr>
          <w:rFonts w:hint="eastAsia" w:ascii="宋体" w:hAnsi="宋体" w:cs="宋体"/>
          <w:bCs/>
          <w:color w:val="auto"/>
          <w:kern w:val="2"/>
          <w:szCs w:val="21"/>
          <w:highlight w:val="none"/>
        </w:rPr>
        <w:t>甲方的责任：</w:t>
      </w:r>
    </w:p>
    <w:p w14:paraId="248EA8D9">
      <w:pPr>
        <w:spacing w:line="500" w:lineRule="exact"/>
        <w:ind w:firstLine="420" w:firstLineChars="200"/>
        <w:jc w:val="left"/>
        <w:rPr>
          <w:rFonts w:ascii="宋体" w:hAnsi="宋体" w:cs="宋体"/>
          <w:bCs/>
          <w:color w:val="auto"/>
          <w:kern w:val="2"/>
          <w:szCs w:val="21"/>
          <w:highlight w:val="none"/>
        </w:rPr>
      </w:pPr>
      <w:r>
        <w:rPr>
          <w:rFonts w:hint="eastAsia" w:ascii="宋体" w:hAnsi="宋体" w:cs="宋体"/>
          <w:bCs/>
          <w:color w:val="auto"/>
          <w:kern w:val="2"/>
          <w:szCs w:val="21"/>
          <w:highlight w:val="none"/>
        </w:rPr>
        <w:t>1.根据本项目的具体情况和技术要求确定合理的工作量及合理的工作周期。</w:t>
      </w:r>
    </w:p>
    <w:p w14:paraId="3FEAEC9E">
      <w:pPr>
        <w:spacing w:line="500" w:lineRule="exact"/>
        <w:ind w:firstLine="420" w:firstLineChars="200"/>
        <w:jc w:val="left"/>
        <w:rPr>
          <w:rFonts w:ascii="宋体" w:hAnsi="宋体" w:cs="宋体"/>
          <w:bCs/>
          <w:color w:val="auto"/>
          <w:kern w:val="2"/>
          <w:szCs w:val="21"/>
          <w:highlight w:val="none"/>
        </w:rPr>
      </w:pPr>
      <w:r>
        <w:rPr>
          <w:rFonts w:hint="eastAsia" w:ascii="宋体" w:hAnsi="宋体" w:cs="宋体"/>
          <w:bCs/>
          <w:color w:val="auto"/>
          <w:kern w:val="2"/>
          <w:szCs w:val="21"/>
          <w:highlight w:val="none"/>
        </w:rPr>
        <w:t>2.指定专人负责与乙方的工作联系，协调各方面工作，以满足报告编制进度要求。</w:t>
      </w:r>
    </w:p>
    <w:p w14:paraId="129666BA">
      <w:pPr>
        <w:spacing w:line="500" w:lineRule="exact"/>
        <w:ind w:firstLine="420" w:firstLineChars="200"/>
        <w:jc w:val="left"/>
        <w:rPr>
          <w:rFonts w:ascii="宋体" w:hAnsi="宋体" w:cs="宋体"/>
          <w:bCs/>
          <w:color w:val="auto"/>
          <w:kern w:val="2"/>
          <w:szCs w:val="21"/>
          <w:highlight w:val="none"/>
        </w:rPr>
      </w:pPr>
      <w:r>
        <w:rPr>
          <w:rFonts w:hint="eastAsia" w:ascii="宋体" w:hAnsi="宋体" w:cs="宋体"/>
          <w:bCs/>
          <w:color w:val="auto"/>
          <w:kern w:val="2"/>
          <w:szCs w:val="21"/>
          <w:highlight w:val="none"/>
        </w:rPr>
        <w:t>3.为乙方进行资料收集、调查等工作提供便利条件。</w:t>
      </w:r>
    </w:p>
    <w:p w14:paraId="1565CAF9">
      <w:pPr>
        <w:spacing w:line="500" w:lineRule="exact"/>
        <w:ind w:firstLine="420" w:firstLineChars="200"/>
        <w:jc w:val="left"/>
        <w:rPr>
          <w:rFonts w:ascii="宋体" w:hAnsi="宋体" w:cs="宋体"/>
          <w:bCs/>
          <w:color w:val="auto"/>
          <w:kern w:val="2"/>
          <w:szCs w:val="21"/>
          <w:highlight w:val="none"/>
        </w:rPr>
      </w:pPr>
      <w:r>
        <w:rPr>
          <w:rFonts w:hint="eastAsia" w:ascii="宋体" w:hAnsi="宋体" w:cs="宋体"/>
          <w:bCs/>
          <w:color w:val="auto"/>
          <w:kern w:val="2"/>
          <w:szCs w:val="21"/>
          <w:highlight w:val="none"/>
        </w:rPr>
        <w:t>4.应认真组织专家对研究成果进行审查，并出具审查书面意见和整理会议纪要，对咨询单位在贯彻落实审查意见时提出的有关问题应及时认真予以解答，但并不免除咨询单位根据本合同规定应负的责任。</w:t>
      </w:r>
    </w:p>
    <w:p w14:paraId="064D1119">
      <w:pPr>
        <w:spacing w:line="500" w:lineRule="exact"/>
        <w:ind w:firstLine="420" w:firstLineChars="200"/>
        <w:jc w:val="left"/>
        <w:rPr>
          <w:rFonts w:ascii="宋体" w:hAnsi="宋体" w:cs="宋体"/>
          <w:bCs/>
          <w:color w:val="auto"/>
          <w:kern w:val="2"/>
          <w:szCs w:val="21"/>
          <w:highlight w:val="none"/>
        </w:rPr>
      </w:pPr>
      <w:r>
        <w:rPr>
          <w:rFonts w:hint="eastAsia" w:ascii="宋体" w:hAnsi="宋体" w:cs="宋体"/>
          <w:bCs/>
          <w:color w:val="auto"/>
          <w:kern w:val="2"/>
          <w:szCs w:val="21"/>
          <w:highlight w:val="none"/>
        </w:rPr>
        <w:t>5.按合同规定及时支付报告编制费用。</w:t>
      </w:r>
    </w:p>
    <w:p w14:paraId="644197EE">
      <w:pPr>
        <w:spacing w:line="500" w:lineRule="exact"/>
        <w:ind w:firstLine="420" w:firstLineChars="200"/>
        <w:jc w:val="left"/>
        <w:rPr>
          <w:rFonts w:ascii="宋体" w:hAnsi="宋体" w:cs="宋体"/>
          <w:bCs/>
          <w:color w:val="auto"/>
          <w:kern w:val="2"/>
          <w:szCs w:val="21"/>
          <w:highlight w:val="none"/>
        </w:rPr>
      </w:pPr>
      <w:r>
        <w:rPr>
          <w:rFonts w:hint="eastAsia" w:ascii="宋体" w:hAnsi="宋体" w:cs="宋体"/>
          <w:bCs/>
          <w:color w:val="auto"/>
          <w:kern w:val="2"/>
          <w:szCs w:val="21"/>
          <w:highlight w:val="none"/>
        </w:rPr>
        <w:t>乙方的责任：</w:t>
      </w:r>
    </w:p>
    <w:p w14:paraId="1606C9F9">
      <w:pPr>
        <w:spacing w:line="500" w:lineRule="exact"/>
        <w:ind w:firstLine="420" w:firstLineChars="200"/>
        <w:jc w:val="left"/>
        <w:rPr>
          <w:rFonts w:ascii="宋体" w:hAnsi="宋体" w:cs="宋体"/>
          <w:bCs/>
          <w:color w:val="auto"/>
          <w:kern w:val="2"/>
          <w:szCs w:val="21"/>
          <w:highlight w:val="none"/>
        </w:rPr>
      </w:pPr>
      <w:r>
        <w:rPr>
          <w:rFonts w:hint="eastAsia" w:ascii="宋体" w:hAnsi="宋体" w:cs="宋体"/>
          <w:bCs/>
          <w:color w:val="auto"/>
          <w:kern w:val="2"/>
          <w:szCs w:val="21"/>
          <w:highlight w:val="none"/>
        </w:rPr>
        <w:t>1.乙方应做好质量管理工作，建立健全质量保证体系，加强工作全过程的质量控制，建立完整的研究报告的编制、复核、审核、会签和批准制度，明确各阶段的责任人，应按期、按质、按量地完成双方商定的各项工作内容，并对研究报告的质量负责，达到乙方要求。报告质量应达到行业内领先水平。</w:t>
      </w:r>
    </w:p>
    <w:p w14:paraId="46EBEE82">
      <w:pPr>
        <w:spacing w:line="500" w:lineRule="exact"/>
        <w:ind w:firstLine="420" w:firstLineChars="200"/>
        <w:jc w:val="left"/>
        <w:rPr>
          <w:rFonts w:ascii="宋体" w:hAnsi="宋体" w:cs="宋体"/>
          <w:bCs/>
          <w:color w:val="auto"/>
          <w:kern w:val="2"/>
          <w:szCs w:val="21"/>
          <w:highlight w:val="none"/>
        </w:rPr>
      </w:pPr>
      <w:r>
        <w:rPr>
          <w:rFonts w:hint="eastAsia" w:ascii="宋体" w:hAnsi="宋体" w:cs="宋体"/>
          <w:bCs/>
          <w:color w:val="auto"/>
          <w:kern w:val="2"/>
          <w:szCs w:val="21"/>
          <w:highlight w:val="none"/>
        </w:rPr>
        <w:t>2.应自行承担研究工作的一切有关费用。</w:t>
      </w:r>
    </w:p>
    <w:p w14:paraId="3C667C01">
      <w:pPr>
        <w:spacing w:line="500" w:lineRule="exact"/>
        <w:ind w:firstLine="420" w:firstLineChars="200"/>
        <w:jc w:val="left"/>
        <w:rPr>
          <w:rFonts w:ascii="宋体" w:hAnsi="宋体" w:cs="宋体"/>
          <w:bCs/>
          <w:color w:val="auto"/>
          <w:kern w:val="2"/>
          <w:szCs w:val="21"/>
          <w:highlight w:val="none"/>
        </w:rPr>
      </w:pPr>
      <w:r>
        <w:rPr>
          <w:rFonts w:hint="eastAsia" w:ascii="宋体" w:hAnsi="宋体" w:cs="宋体"/>
          <w:bCs/>
          <w:color w:val="auto"/>
          <w:kern w:val="2"/>
          <w:szCs w:val="21"/>
          <w:highlight w:val="none"/>
        </w:rPr>
        <w:t>3.在研究工作过程中，应主动和甲方保持密切联系。</w:t>
      </w:r>
    </w:p>
    <w:p w14:paraId="21211284">
      <w:pPr>
        <w:spacing w:line="500" w:lineRule="exact"/>
        <w:ind w:firstLine="420" w:firstLineChars="200"/>
        <w:jc w:val="left"/>
        <w:rPr>
          <w:rFonts w:ascii="宋体" w:hAnsi="宋体" w:cs="宋体"/>
          <w:bCs/>
          <w:color w:val="auto"/>
          <w:kern w:val="2"/>
          <w:szCs w:val="21"/>
          <w:highlight w:val="none"/>
        </w:rPr>
      </w:pPr>
      <w:r>
        <w:rPr>
          <w:rFonts w:hint="eastAsia" w:ascii="宋体" w:hAnsi="宋体" w:cs="宋体"/>
          <w:bCs/>
          <w:color w:val="auto"/>
          <w:kern w:val="2"/>
          <w:szCs w:val="21"/>
          <w:highlight w:val="none"/>
        </w:rPr>
        <w:t>4.应全过程配合甲方及时向有关部门办理报批工作，保证研究报告通过主管部门的审查，并根据审查意见修改、完善研究报告。</w:t>
      </w:r>
    </w:p>
    <w:p w14:paraId="267064F4">
      <w:pPr>
        <w:spacing w:line="500" w:lineRule="exact"/>
        <w:ind w:firstLine="420" w:firstLineChars="200"/>
        <w:jc w:val="left"/>
        <w:rPr>
          <w:rFonts w:ascii="宋体" w:hAnsi="宋体" w:cs="宋体"/>
          <w:bCs/>
          <w:color w:val="auto"/>
          <w:kern w:val="2"/>
          <w:szCs w:val="21"/>
          <w:highlight w:val="none"/>
        </w:rPr>
      </w:pPr>
      <w:r>
        <w:rPr>
          <w:rFonts w:hint="eastAsia" w:ascii="宋体" w:hAnsi="宋体" w:cs="宋体"/>
          <w:bCs/>
          <w:color w:val="auto"/>
          <w:kern w:val="2"/>
          <w:szCs w:val="21"/>
          <w:highlight w:val="none"/>
        </w:rPr>
        <w:t>5.未经甲方同意，不得将研究报告转让给第三方。</w:t>
      </w:r>
    </w:p>
    <w:p w14:paraId="576D1F8D">
      <w:pPr>
        <w:spacing w:line="500" w:lineRule="exact"/>
        <w:ind w:firstLine="420" w:firstLineChars="200"/>
        <w:jc w:val="left"/>
        <w:rPr>
          <w:rFonts w:ascii="宋体" w:hAnsi="宋体" w:cs="宋体"/>
          <w:bCs/>
          <w:color w:val="auto"/>
          <w:kern w:val="2"/>
          <w:szCs w:val="21"/>
          <w:highlight w:val="none"/>
        </w:rPr>
      </w:pPr>
      <w:r>
        <w:rPr>
          <w:rFonts w:hint="eastAsia" w:ascii="宋体" w:hAnsi="宋体" w:cs="宋体"/>
          <w:bCs/>
          <w:color w:val="auto"/>
          <w:kern w:val="2"/>
          <w:szCs w:val="21"/>
          <w:highlight w:val="none"/>
        </w:rPr>
        <w:t>6.人员保证与变更</w:t>
      </w:r>
    </w:p>
    <w:p w14:paraId="46A21F72">
      <w:pPr>
        <w:spacing w:line="500" w:lineRule="exact"/>
        <w:ind w:firstLine="420" w:firstLineChars="200"/>
        <w:jc w:val="left"/>
        <w:rPr>
          <w:rFonts w:ascii="宋体" w:hAnsi="宋体" w:cs="宋体"/>
          <w:bCs/>
          <w:color w:val="auto"/>
          <w:kern w:val="2"/>
          <w:szCs w:val="21"/>
          <w:highlight w:val="none"/>
        </w:rPr>
      </w:pPr>
      <w:r>
        <w:rPr>
          <w:rFonts w:hint="eastAsia" w:ascii="宋体" w:hAnsi="宋体" w:cs="宋体"/>
          <w:bCs/>
          <w:color w:val="auto"/>
          <w:kern w:val="2"/>
          <w:szCs w:val="21"/>
          <w:highlight w:val="none"/>
        </w:rPr>
        <w:t>（1）乙方应按投标文件中承诺的人员投入工作，在报告编制过程应保持人员的相对稳定。确需调整，应报经甲方批准。</w:t>
      </w:r>
    </w:p>
    <w:p w14:paraId="675BF660">
      <w:pPr>
        <w:spacing w:line="500" w:lineRule="exact"/>
        <w:ind w:firstLine="420" w:firstLineChars="200"/>
        <w:jc w:val="left"/>
        <w:rPr>
          <w:rFonts w:ascii="宋体" w:hAnsi="宋体" w:cs="宋体"/>
          <w:bCs/>
          <w:color w:val="auto"/>
          <w:kern w:val="2"/>
          <w:szCs w:val="21"/>
          <w:highlight w:val="none"/>
        </w:rPr>
      </w:pPr>
      <w:r>
        <w:rPr>
          <w:rFonts w:hint="eastAsia" w:ascii="宋体" w:hAnsi="宋体" w:cs="宋体"/>
          <w:bCs/>
          <w:color w:val="auto"/>
          <w:kern w:val="2"/>
          <w:szCs w:val="21"/>
          <w:highlight w:val="none"/>
        </w:rPr>
        <w:t>（2）如果乙方的人员渎职或不能胜任工作或从事其他违法活动，甲方有权书面要求更换，乙方应立即派出具有同等或以上资历的人员替换；若非因上述原因，乙方有权拒绝。</w:t>
      </w:r>
    </w:p>
    <w:p w14:paraId="65FCF8AC">
      <w:pPr>
        <w:spacing w:line="500" w:lineRule="exact"/>
        <w:ind w:firstLine="420" w:firstLineChars="200"/>
        <w:jc w:val="left"/>
        <w:rPr>
          <w:rFonts w:ascii="宋体" w:hAnsi="宋体" w:cs="宋体"/>
          <w:bCs/>
          <w:color w:val="auto"/>
          <w:kern w:val="2"/>
          <w:szCs w:val="21"/>
          <w:highlight w:val="none"/>
        </w:rPr>
      </w:pPr>
      <w:r>
        <w:rPr>
          <w:rFonts w:hint="eastAsia" w:ascii="宋体" w:hAnsi="宋体" w:cs="宋体"/>
          <w:bCs/>
          <w:color w:val="auto"/>
          <w:kern w:val="2"/>
          <w:szCs w:val="21"/>
          <w:highlight w:val="none"/>
        </w:rPr>
        <w:t>（3）若乙方的进度没有达到乙方投标文件中承诺的进度计划，甲方有权提出要求增加工作人员，乙方应立即安排，其费用被认为已包含在合同价格之中。</w:t>
      </w:r>
    </w:p>
    <w:p w14:paraId="5C950C24">
      <w:pPr>
        <w:spacing w:line="500" w:lineRule="exact"/>
        <w:ind w:firstLine="420" w:firstLineChars="200"/>
        <w:jc w:val="left"/>
        <w:rPr>
          <w:rFonts w:ascii="宋体" w:hAnsi="宋体" w:cs="宋体"/>
          <w:bCs/>
          <w:color w:val="auto"/>
          <w:kern w:val="2"/>
          <w:szCs w:val="21"/>
          <w:highlight w:val="none"/>
        </w:rPr>
      </w:pPr>
      <w:r>
        <w:rPr>
          <w:rFonts w:hint="eastAsia" w:ascii="宋体" w:hAnsi="宋体" w:cs="宋体"/>
          <w:bCs/>
          <w:color w:val="auto"/>
          <w:kern w:val="2"/>
          <w:szCs w:val="21"/>
          <w:highlight w:val="none"/>
        </w:rPr>
        <w:t>7.若乙方在合同履行期间发生人员伤亡或财产的损失，或者造成第三方的人员伤亡或财产损失，乙方应承担全部责任，并保障甲方免于承担由此造成的一切损害和损失。</w:t>
      </w:r>
    </w:p>
    <w:p w14:paraId="619B19A4">
      <w:pPr>
        <w:spacing w:line="500" w:lineRule="exact"/>
        <w:ind w:firstLine="420" w:firstLineChars="200"/>
        <w:jc w:val="left"/>
        <w:rPr>
          <w:rFonts w:ascii="宋体" w:hAnsi="宋体" w:cs="宋体"/>
          <w:bCs/>
          <w:color w:val="auto"/>
          <w:kern w:val="2"/>
          <w:szCs w:val="21"/>
          <w:highlight w:val="none"/>
        </w:rPr>
      </w:pPr>
      <w:r>
        <w:rPr>
          <w:rFonts w:hint="eastAsia" w:ascii="宋体" w:hAnsi="宋体" w:cs="宋体"/>
          <w:bCs/>
          <w:color w:val="auto"/>
          <w:kern w:val="2"/>
          <w:szCs w:val="21"/>
          <w:highlight w:val="none"/>
        </w:rPr>
        <w:t>8.乙方负责定期向甲方报告工作进展情况。</w:t>
      </w:r>
    </w:p>
    <w:p w14:paraId="140EEBBA">
      <w:pPr>
        <w:spacing w:line="500" w:lineRule="exact"/>
        <w:ind w:firstLine="420" w:firstLineChars="200"/>
        <w:jc w:val="left"/>
        <w:rPr>
          <w:rFonts w:ascii="宋体" w:hAnsi="宋体" w:cs="宋体"/>
          <w:b/>
          <w:color w:val="auto"/>
          <w:kern w:val="2"/>
          <w:szCs w:val="21"/>
          <w:highlight w:val="none"/>
        </w:rPr>
      </w:pPr>
      <w:r>
        <w:rPr>
          <w:rFonts w:hint="eastAsia" w:ascii="宋体" w:hAnsi="宋体" w:cs="宋体"/>
          <w:bCs/>
          <w:color w:val="auto"/>
          <w:kern w:val="2"/>
          <w:szCs w:val="21"/>
          <w:highlight w:val="none"/>
        </w:rPr>
        <w:t>9.乙方应根据甲方的要求，就研究的项目加强与相关部门的协调衔接，及时向与项目有关的其它单位提供项目研究资料。</w:t>
      </w:r>
    </w:p>
    <w:p w14:paraId="294E8161">
      <w:pPr>
        <w:spacing w:line="500" w:lineRule="exact"/>
        <w:ind w:firstLine="422" w:firstLineChars="200"/>
        <w:jc w:val="left"/>
        <w:rPr>
          <w:rFonts w:ascii="宋体" w:hAnsi="宋体" w:cs="宋体"/>
          <w:b/>
          <w:color w:val="auto"/>
          <w:kern w:val="2"/>
          <w:szCs w:val="21"/>
          <w:highlight w:val="none"/>
        </w:rPr>
      </w:pPr>
      <w:r>
        <w:rPr>
          <w:rFonts w:hint="eastAsia" w:ascii="宋体" w:hAnsi="宋体" w:cs="宋体"/>
          <w:b/>
          <w:color w:val="auto"/>
          <w:kern w:val="2"/>
          <w:szCs w:val="21"/>
          <w:highlight w:val="none"/>
        </w:rPr>
        <w:t>十三、违约责任</w:t>
      </w:r>
    </w:p>
    <w:p w14:paraId="05393685">
      <w:pPr>
        <w:spacing w:line="500" w:lineRule="exact"/>
        <w:ind w:firstLine="420" w:firstLineChars="200"/>
        <w:jc w:val="left"/>
        <w:rPr>
          <w:rFonts w:ascii="宋体" w:hAnsi="宋体" w:cs="宋体"/>
          <w:bCs/>
          <w:color w:val="auto"/>
          <w:kern w:val="2"/>
          <w:szCs w:val="21"/>
          <w:highlight w:val="none"/>
        </w:rPr>
      </w:pPr>
      <w:r>
        <w:rPr>
          <w:rFonts w:hint="eastAsia" w:ascii="宋体" w:hAnsi="宋体" w:cs="宋体"/>
          <w:bCs/>
          <w:color w:val="auto"/>
          <w:kern w:val="2"/>
          <w:szCs w:val="21"/>
          <w:highlight w:val="none"/>
        </w:rPr>
        <w:t>1.甲方的违约</w:t>
      </w:r>
    </w:p>
    <w:p w14:paraId="1057ECB7">
      <w:pPr>
        <w:spacing w:line="500" w:lineRule="exact"/>
        <w:ind w:firstLine="420" w:firstLineChars="200"/>
        <w:jc w:val="left"/>
        <w:rPr>
          <w:rFonts w:ascii="宋体" w:hAnsi="宋体" w:cs="宋体"/>
          <w:bCs/>
          <w:color w:val="auto"/>
          <w:kern w:val="2"/>
          <w:szCs w:val="21"/>
          <w:highlight w:val="none"/>
        </w:rPr>
      </w:pPr>
      <w:r>
        <w:rPr>
          <w:rFonts w:hint="eastAsia" w:ascii="宋体" w:hAnsi="宋体" w:cs="宋体"/>
          <w:bCs/>
          <w:color w:val="auto"/>
          <w:kern w:val="2"/>
          <w:szCs w:val="21"/>
          <w:highlight w:val="none"/>
        </w:rPr>
        <w:t>（1）由于甲方变更计划，或未按期提供规划必需的资料、工作条件，而造成的返工或修改，由此拖延的周期应由甲方负责。</w:t>
      </w:r>
    </w:p>
    <w:p w14:paraId="7B75222B">
      <w:pPr>
        <w:spacing w:line="500" w:lineRule="exact"/>
        <w:ind w:firstLine="420" w:firstLineChars="200"/>
        <w:jc w:val="left"/>
        <w:rPr>
          <w:rFonts w:ascii="宋体" w:hAnsi="宋体" w:cs="宋体"/>
          <w:bCs/>
          <w:color w:val="auto"/>
          <w:kern w:val="2"/>
          <w:szCs w:val="21"/>
          <w:highlight w:val="none"/>
        </w:rPr>
      </w:pPr>
      <w:r>
        <w:rPr>
          <w:rFonts w:hint="eastAsia" w:ascii="宋体" w:hAnsi="宋体" w:cs="宋体"/>
          <w:bCs/>
          <w:color w:val="auto"/>
          <w:kern w:val="2"/>
          <w:szCs w:val="21"/>
          <w:highlight w:val="none"/>
        </w:rPr>
        <w:t>（2）在合同履行期间，甲方要求终止或解除合同（但仅指非乙方原因造成），甲方应按乙方完成的实际工作量支付费用，甲方超过合同规定的日期付费时，应偿付逾期的违约金，违约金每逾期一天按相应部分工作经费的千分之一计算。中期支付涉及政府投资资金的，由于财政部门相关工作的延后，不计入甲方延期支付责任。</w:t>
      </w:r>
    </w:p>
    <w:p w14:paraId="38649F91">
      <w:pPr>
        <w:spacing w:line="500" w:lineRule="exact"/>
        <w:ind w:firstLine="420" w:firstLineChars="200"/>
        <w:jc w:val="left"/>
        <w:rPr>
          <w:rFonts w:ascii="宋体" w:hAnsi="宋体" w:cs="宋体"/>
          <w:bCs/>
          <w:color w:val="auto"/>
          <w:kern w:val="2"/>
          <w:szCs w:val="21"/>
          <w:highlight w:val="none"/>
        </w:rPr>
      </w:pPr>
      <w:r>
        <w:rPr>
          <w:rFonts w:hint="eastAsia" w:ascii="宋体" w:hAnsi="宋体" w:cs="宋体"/>
          <w:bCs/>
          <w:color w:val="auto"/>
          <w:kern w:val="2"/>
          <w:szCs w:val="21"/>
          <w:highlight w:val="none"/>
        </w:rPr>
        <w:t>2.乙方的违约</w:t>
      </w:r>
    </w:p>
    <w:p w14:paraId="3B7384DF">
      <w:pPr>
        <w:spacing w:line="500" w:lineRule="exact"/>
        <w:ind w:firstLine="420" w:firstLineChars="200"/>
        <w:jc w:val="left"/>
        <w:rPr>
          <w:rFonts w:ascii="宋体" w:hAnsi="宋体" w:cs="宋体"/>
          <w:bCs/>
          <w:color w:val="auto"/>
          <w:kern w:val="2"/>
          <w:szCs w:val="21"/>
          <w:highlight w:val="none"/>
        </w:rPr>
      </w:pPr>
      <w:r>
        <w:rPr>
          <w:rFonts w:hint="eastAsia" w:ascii="宋体" w:hAnsi="宋体" w:cs="宋体"/>
          <w:bCs/>
          <w:color w:val="auto"/>
          <w:kern w:val="2"/>
          <w:szCs w:val="21"/>
          <w:highlight w:val="none"/>
        </w:rPr>
        <w:t>（1）如果乙方将任务转包或未经甲方同意分包的，甲方有权解除合同，并要求乙方退还收取费用，并按照合同价 1%-2%扣除乙方的违约金。</w:t>
      </w:r>
    </w:p>
    <w:p w14:paraId="1E98F6F8">
      <w:pPr>
        <w:spacing w:line="500" w:lineRule="exact"/>
        <w:ind w:firstLine="420" w:firstLineChars="200"/>
        <w:jc w:val="left"/>
        <w:rPr>
          <w:rFonts w:ascii="宋体" w:hAnsi="宋体" w:cs="宋体"/>
          <w:bCs/>
          <w:color w:val="auto"/>
          <w:kern w:val="2"/>
          <w:szCs w:val="21"/>
          <w:highlight w:val="none"/>
        </w:rPr>
      </w:pPr>
      <w:r>
        <w:rPr>
          <w:rFonts w:hint="eastAsia" w:ascii="宋体" w:hAnsi="宋体" w:cs="宋体"/>
          <w:bCs/>
          <w:color w:val="auto"/>
          <w:kern w:val="2"/>
          <w:szCs w:val="21"/>
          <w:highlight w:val="none"/>
        </w:rPr>
        <w:t>（2）乙方未按照国家现行的标准或规范开展工作、编制相应报告，或未根据甲方的指令进行变更，给甲方造成损失等，如发生上述任何行为，除由有关部门给予处罚外，甲方将按合同价的1%-2%扣除乙方的违约金。</w:t>
      </w:r>
    </w:p>
    <w:p w14:paraId="6D68D018">
      <w:pPr>
        <w:spacing w:line="500" w:lineRule="exact"/>
        <w:ind w:firstLine="420" w:firstLineChars="200"/>
        <w:jc w:val="left"/>
        <w:rPr>
          <w:rFonts w:ascii="宋体" w:hAnsi="宋体" w:cs="宋体"/>
          <w:bCs/>
          <w:color w:val="auto"/>
          <w:kern w:val="2"/>
          <w:szCs w:val="21"/>
          <w:highlight w:val="none"/>
        </w:rPr>
      </w:pPr>
      <w:r>
        <w:rPr>
          <w:rFonts w:hint="eastAsia" w:ascii="宋体" w:hAnsi="宋体" w:cs="宋体"/>
          <w:bCs/>
          <w:color w:val="auto"/>
          <w:kern w:val="2"/>
          <w:szCs w:val="21"/>
          <w:highlight w:val="none"/>
        </w:rPr>
        <w:t>（3）因编制报告深度不够、质量低劣、不符合国家文件规定或报告未获审查通过、引起返工而造成的质量问题除由乙方负责继续完善报告编制外，应视造成的损失，甲方可按照合同价的1%-2%扣除违约金。</w:t>
      </w:r>
    </w:p>
    <w:p w14:paraId="28C30CA8">
      <w:pPr>
        <w:spacing w:line="500" w:lineRule="exact"/>
        <w:ind w:firstLine="420" w:firstLineChars="200"/>
        <w:jc w:val="left"/>
        <w:rPr>
          <w:rFonts w:ascii="宋体" w:hAnsi="宋体" w:cs="宋体"/>
          <w:bCs/>
          <w:color w:val="auto"/>
          <w:kern w:val="2"/>
          <w:szCs w:val="21"/>
          <w:highlight w:val="none"/>
        </w:rPr>
      </w:pPr>
      <w:r>
        <w:rPr>
          <w:rFonts w:hint="eastAsia" w:ascii="宋体" w:hAnsi="宋体" w:cs="宋体"/>
          <w:bCs/>
          <w:color w:val="auto"/>
          <w:kern w:val="2"/>
          <w:szCs w:val="21"/>
          <w:highlight w:val="none"/>
        </w:rPr>
        <w:t>（4）如果乙方未能按期提交文件（甲方同意延长期限的情况除外），则每延期 15 天（不足 15天按 15 天计），甲方将分别按相应阶段合同费用总金额的 1%扣除乙方的违约金。</w:t>
      </w:r>
    </w:p>
    <w:p w14:paraId="67965805">
      <w:pPr>
        <w:spacing w:line="500" w:lineRule="exact"/>
        <w:ind w:firstLine="420" w:firstLineChars="200"/>
        <w:jc w:val="left"/>
        <w:rPr>
          <w:rFonts w:ascii="宋体" w:hAnsi="宋体" w:cs="宋体"/>
          <w:bCs/>
          <w:color w:val="auto"/>
          <w:kern w:val="2"/>
          <w:szCs w:val="21"/>
          <w:highlight w:val="none"/>
        </w:rPr>
      </w:pPr>
      <w:r>
        <w:rPr>
          <w:rFonts w:hint="eastAsia" w:ascii="宋体" w:hAnsi="宋体" w:cs="宋体"/>
          <w:bCs/>
          <w:color w:val="auto"/>
          <w:kern w:val="2"/>
          <w:szCs w:val="21"/>
          <w:highlight w:val="none"/>
        </w:rPr>
        <w:t>（5）合同生效后，如果乙方更换投标文件中承诺的项目负责人和各专业负责人，主要技术人员，必须征得甲方同意，并且更换人员的水平不得低于原有的水平。同时，甲方将保留对乙方罚款的权利：其中更换项目负责人按 5 万元/人次处以罚金，更换各专业负责人按 3 万元/人次处以罚金，更换主要技术人员按 1 万元/人次处以罚金。</w:t>
      </w:r>
    </w:p>
    <w:p w14:paraId="08490CB4">
      <w:pPr>
        <w:spacing w:line="500" w:lineRule="exact"/>
        <w:ind w:firstLine="420" w:firstLineChars="200"/>
        <w:jc w:val="left"/>
        <w:rPr>
          <w:rFonts w:hint="eastAsia" w:ascii="宋体" w:hAnsi="宋体" w:cs="宋体"/>
          <w:bCs/>
          <w:color w:val="auto"/>
          <w:kern w:val="2"/>
          <w:szCs w:val="21"/>
          <w:highlight w:val="none"/>
        </w:rPr>
      </w:pPr>
      <w:r>
        <w:rPr>
          <w:rFonts w:hint="eastAsia" w:ascii="宋体" w:hAnsi="宋体" w:cs="宋体"/>
          <w:bCs/>
          <w:color w:val="auto"/>
          <w:kern w:val="2"/>
          <w:szCs w:val="21"/>
          <w:highlight w:val="none"/>
        </w:rPr>
        <w:t>（6）合同生效后，如乙方提出终止合同，应向甲方返还已付款项，甲方按合同价格的5%扣除乙方违约金。乙方承担由此产生的一切损失。</w:t>
      </w:r>
    </w:p>
    <w:p w14:paraId="64FFFC46">
      <w:pPr>
        <w:pStyle w:val="2"/>
        <w:rPr>
          <w:rFonts w:hint="default" w:eastAsia="宋体"/>
          <w:b w:val="0"/>
          <w:bCs/>
          <w:color w:val="auto"/>
          <w:highlight w:val="none"/>
          <w:lang w:val="en-US" w:eastAsia="zh-CN"/>
        </w:rPr>
      </w:pPr>
      <w:r>
        <w:rPr>
          <w:rFonts w:hint="eastAsia"/>
          <w:b w:val="0"/>
          <w:bCs/>
          <w:color w:val="auto"/>
          <w:highlight w:val="none"/>
          <w:lang w:eastAsia="zh-CN"/>
        </w:rPr>
        <w:t>（</w:t>
      </w:r>
      <w:r>
        <w:rPr>
          <w:rFonts w:hint="eastAsia"/>
          <w:b w:val="0"/>
          <w:bCs/>
          <w:color w:val="auto"/>
          <w:highlight w:val="none"/>
          <w:lang w:val="en-US" w:eastAsia="zh-CN"/>
        </w:rPr>
        <w:t>7</w:t>
      </w:r>
      <w:r>
        <w:rPr>
          <w:rFonts w:hint="eastAsia"/>
          <w:b w:val="0"/>
          <w:bCs/>
          <w:color w:val="auto"/>
          <w:highlight w:val="none"/>
          <w:lang w:eastAsia="zh-CN"/>
        </w:rPr>
        <w:t>）</w:t>
      </w:r>
      <w:r>
        <w:rPr>
          <w:rFonts w:hint="eastAsia"/>
          <w:b w:val="0"/>
          <w:bCs/>
          <w:color w:val="auto"/>
          <w:highlight w:val="none"/>
          <w:lang w:val="en-US" w:eastAsia="zh-CN"/>
        </w:rPr>
        <w:t>乙方对提供的成果文件出现的遗漏或者错误负责修改或补充。在合同履行期间乙方由于工作、成果文件错误造成甲方损失的，乙方除负责采取补救措施外，应根据损失程度向甲方支付赔偿金，赔偿金数额为甲方的实际损失。</w:t>
      </w:r>
    </w:p>
    <w:p w14:paraId="08A427B0">
      <w:pPr>
        <w:spacing w:line="500" w:lineRule="exact"/>
        <w:ind w:firstLine="420" w:firstLineChars="200"/>
        <w:jc w:val="left"/>
        <w:rPr>
          <w:rFonts w:ascii="宋体" w:hAnsi="宋体" w:cs="宋体"/>
          <w:bCs/>
          <w:color w:val="auto"/>
          <w:kern w:val="2"/>
          <w:szCs w:val="21"/>
          <w:highlight w:val="none"/>
        </w:rPr>
      </w:pPr>
      <w:r>
        <w:rPr>
          <w:rFonts w:hint="eastAsia" w:ascii="宋体" w:hAnsi="宋体" w:cs="宋体"/>
          <w:bCs/>
          <w:color w:val="auto"/>
          <w:kern w:val="2"/>
          <w:szCs w:val="21"/>
          <w:highlight w:val="none"/>
        </w:rPr>
        <w:t>若发生上述（1）～（</w:t>
      </w:r>
      <w:r>
        <w:rPr>
          <w:rFonts w:hint="eastAsia" w:ascii="宋体" w:hAnsi="宋体" w:cs="宋体"/>
          <w:bCs/>
          <w:color w:val="auto"/>
          <w:kern w:val="2"/>
          <w:szCs w:val="21"/>
          <w:highlight w:val="none"/>
          <w:lang w:val="en-US" w:eastAsia="zh-CN"/>
        </w:rPr>
        <w:t>7</w:t>
      </w:r>
      <w:r>
        <w:rPr>
          <w:rFonts w:hint="eastAsia" w:ascii="宋体" w:hAnsi="宋体" w:cs="宋体"/>
          <w:bCs/>
          <w:color w:val="auto"/>
          <w:kern w:val="2"/>
          <w:szCs w:val="21"/>
          <w:highlight w:val="none"/>
        </w:rPr>
        <w:t>）情况中任一款甲方有权收回已委托乙方的全部或部分工作，乙方无条件接受。</w:t>
      </w:r>
    </w:p>
    <w:p w14:paraId="04A67E0B">
      <w:pPr>
        <w:spacing w:line="500" w:lineRule="exact"/>
        <w:ind w:firstLine="422" w:firstLineChars="200"/>
        <w:jc w:val="left"/>
        <w:rPr>
          <w:rFonts w:ascii="宋体" w:hAnsi="宋体" w:cs="宋体"/>
          <w:b/>
          <w:color w:val="auto"/>
          <w:kern w:val="2"/>
          <w:szCs w:val="21"/>
          <w:highlight w:val="none"/>
        </w:rPr>
      </w:pPr>
      <w:r>
        <w:rPr>
          <w:rFonts w:hint="eastAsia" w:ascii="宋体" w:hAnsi="宋体" w:cs="宋体"/>
          <w:b/>
          <w:color w:val="auto"/>
          <w:kern w:val="2"/>
          <w:szCs w:val="21"/>
          <w:highlight w:val="none"/>
        </w:rPr>
        <w:t>十四、安全责任</w:t>
      </w:r>
    </w:p>
    <w:p w14:paraId="0440F544">
      <w:pPr>
        <w:spacing w:line="500" w:lineRule="exact"/>
        <w:ind w:firstLine="420" w:firstLineChars="200"/>
        <w:jc w:val="left"/>
        <w:rPr>
          <w:rFonts w:ascii="宋体" w:hAnsi="宋体" w:cs="宋体"/>
          <w:bCs/>
          <w:color w:val="auto"/>
          <w:kern w:val="2"/>
          <w:szCs w:val="21"/>
          <w:highlight w:val="none"/>
        </w:rPr>
      </w:pPr>
      <w:r>
        <w:rPr>
          <w:rFonts w:hint="eastAsia" w:ascii="宋体" w:hAnsi="宋体" w:cs="宋体"/>
          <w:bCs/>
          <w:color w:val="auto"/>
          <w:kern w:val="2"/>
          <w:szCs w:val="21"/>
          <w:highlight w:val="none"/>
        </w:rPr>
        <w:t>1.乙方必须按安全操作规程要求进行管理，必须确保安全，对出现的各类安全事故负全部法律责任，并承担由此而发生的一切经济损失。</w:t>
      </w:r>
    </w:p>
    <w:p w14:paraId="04B2D531">
      <w:pPr>
        <w:spacing w:line="500" w:lineRule="exact"/>
        <w:ind w:firstLine="420" w:firstLineChars="200"/>
        <w:jc w:val="left"/>
        <w:rPr>
          <w:rFonts w:ascii="宋体" w:hAnsi="宋体" w:cs="宋体"/>
          <w:bCs/>
          <w:color w:val="auto"/>
          <w:kern w:val="2"/>
          <w:szCs w:val="21"/>
          <w:highlight w:val="none"/>
        </w:rPr>
      </w:pPr>
      <w:r>
        <w:rPr>
          <w:rFonts w:hint="eastAsia" w:ascii="宋体" w:hAnsi="宋体" w:cs="宋体"/>
          <w:bCs/>
          <w:color w:val="auto"/>
          <w:kern w:val="2"/>
          <w:szCs w:val="21"/>
          <w:highlight w:val="none"/>
        </w:rPr>
        <w:t>2.如乙方发生安全事故不及时妥善处理，引起纠纷或诉讼，甲方有权扣留其未付合同价款用于支付事故处理费用。</w:t>
      </w:r>
    </w:p>
    <w:p w14:paraId="53C81EFE">
      <w:pPr>
        <w:spacing w:line="500" w:lineRule="exact"/>
        <w:ind w:firstLine="420" w:firstLineChars="200"/>
        <w:jc w:val="left"/>
        <w:rPr>
          <w:rFonts w:ascii="宋体" w:hAnsi="宋体" w:cs="宋体"/>
          <w:bCs/>
          <w:color w:val="auto"/>
          <w:kern w:val="2"/>
          <w:szCs w:val="21"/>
          <w:highlight w:val="none"/>
        </w:rPr>
      </w:pPr>
      <w:r>
        <w:rPr>
          <w:rFonts w:hint="eastAsia" w:ascii="宋体" w:hAnsi="宋体" w:cs="宋体"/>
          <w:bCs/>
          <w:color w:val="auto"/>
          <w:kern w:val="2"/>
          <w:szCs w:val="21"/>
          <w:highlight w:val="none"/>
        </w:rPr>
        <w:t>3.数据安全，严格执行国家信息安全制度，建立普查工作保密责任制。对涉密的数据信息的管理，使用国产硬件软件和定位系统；乙方对甲方提供的数据承担保密责任，不得通过网络以及可能泄露的方式途径传输检测数据；乙方不得占有和使用数据，并在任何时间、任何情况下均不得以任何形式将上述资料泄露给第三方使用。</w:t>
      </w:r>
    </w:p>
    <w:p w14:paraId="453240C0">
      <w:pPr>
        <w:spacing w:line="500" w:lineRule="exact"/>
        <w:ind w:firstLine="422" w:firstLineChars="200"/>
        <w:jc w:val="left"/>
        <w:rPr>
          <w:rFonts w:ascii="宋体" w:hAnsi="宋体" w:cs="宋体"/>
          <w:b/>
          <w:color w:val="auto"/>
          <w:kern w:val="2"/>
          <w:szCs w:val="21"/>
          <w:highlight w:val="none"/>
        </w:rPr>
      </w:pPr>
      <w:r>
        <w:rPr>
          <w:rFonts w:hint="eastAsia" w:ascii="宋体" w:hAnsi="宋体" w:cs="宋体"/>
          <w:b/>
          <w:color w:val="auto"/>
          <w:kern w:val="2"/>
          <w:szCs w:val="21"/>
          <w:highlight w:val="none"/>
        </w:rPr>
        <w:t>十五、不可抗力事件处理</w:t>
      </w:r>
    </w:p>
    <w:p w14:paraId="1C2C24CD">
      <w:pPr>
        <w:spacing w:line="500" w:lineRule="exact"/>
        <w:ind w:firstLine="420" w:firstLineChars="200"/>
        <w:jc w:val="left"/>
        <w:rPr>
          <w:rFonts w:ascii="宋体" w:hAnsi="宋体" w:cs="宋体"/>
          <w:bCs/>
          <w:color w:val="auto"/>
          <w:kern w:val="2"/>
          <w:szCs w:val="21"/>
          <w:highlight w:val="none"/>
        </w:rPr>
      </w:pPr>
      <w:r>
        <w:rPr>
          <w:rFonts w:hint="eastAsia" w:ascii="宋体" w:hAnsi="宋体" w:cs="宋体"/>
          <w:bCs/>
          <w:color w:val="auto"/>
          <w:kern w:val="2"/>
          <w:szCs w:val="21"/>
          <w:highlight w:val="none"/>
        </w:rPr>
        <w:t>1.在合同有效期内，任何一方因不可抗力事件导致不能履行合同，则合同履行期可延长，其延长期与不可抗力影响期相同。</w:t>
      </w:r>
    </w:p>
    <w:p w14:paraId="7B98AB43">
      <w:pPr>
        <w:spacing w:line="500" w:lineRule="exact"/>
        <w:ind w:firstLine="420" w:firstLineChars="200"/>
        <w:jc w:val="left"/>
        <w:rPr>
          <w:rFonts w:ascii="宋体" w:hAnsi="宋体" w:cs="宋体"/>
          <w:bCs/>
          <w:color w:val="auto"/>
          <w:kern w:val="2"/>
          <w:szCs w:val="21"/>
          <w:highlight w:val="none"/>
        </w:rPr>
      </w:pPr>
      <w:r>
        <w:rPr>
          <w:rFonts w:hint="eastAsia" w:ascii="宋体" w:hAnsi="宋体" w:cs="宋体"/>
          <w:bCs/>
          <w:color w:val="auto"/>
          <w:kern w:val="2"/>
          <w:szCs w:val="21"/>
          <w:highlight w:val="none"/>
        </w:rPr>
        <w:t>2.不可抗力事件发生后，应立即通知对方，并寄送有关权威机构出具的证明。</w:t>
      </w:r>
    </w:p>
    <w:p w14:paraId="4D7BB232">
      <w:pPr>
        <w:spacing w:line="500" w:lineRule="exact"/>
        <w:ind w:firstLine="420" w:firstLineChars="200"/>
        <w:jc w:val="left"/>
        <w:rPr>
          <w:rFonts w:ascii="宋体" w:hAnsi="宋体" w:cs="宋体"/>
          <w:bCs/>
          <w:color w:val="auto"/>
          <w:kern w:val="2"/>
          <w:szCs w:val="21"/>
          <w:highlight w:val="none"/>
        </w:rPr>
      </w:pPr>
      <w:r>
        <w:rPr>
          <w:rFonts w:hint="eastAsia" w:ascii="宋体" w:hAnsi="宋体" w:cs="宋体"/>
          <w:bCs/>
          <w:color w:val="auto"/>
          <w:kern w:val="2"/>
          <w:szCs w:val="21"/>
          <w:highlight w:val="none"/>
        </w:rPr>
        <w:t>3.不可抗力事件延续120天以上，双方应通过友好协商，确定是否继续履行合同。</w:t>
      </w:r>
    </w:p>
    <w:p w14:paraId="317FA134">
      <w:pPr>
        <w:spacing w:line="500" w:lineRule="exact"/>
        <w:ind w:firstLine="422" w:firstLineChars="200"/>
        <w:jc w:val="left"/>
        <w:rPr>
          <w:rFonts w:ascii="宋体" w:hAnsi="宋体" w:cs="宋体"/>
          <w:b/>
          <w:color w:val="auto"/>
          <w:kern w:val="2"/>
          <w:szCs w:val="21"/>
          <w:highlight w:val="none"/>
        </w:rPr>
      </w:pPr>
      <w:r>
        <w:rPr>
          <w:rFonts w:hint="eastAsia" w:ascii="宋体" w:hAnsi="宋体" w:cs="宋体"/>
          <w:b/>
          <w:color w:val="auto"/>
          <w:kern w:val="2"/>
          <w:szCs w:val="21"/>
          <w:highlight w:val="none"/>
        </w:rPr>
        <w:t>十六、诉讼</w:t>
      </w:r>
    </w:p>
    <w:p w14:paraId="0B875EB0">
      <w:pPr>
        <w:spacing w:line="500" w:lineRule="exact"/>
        <w:ind w:firstLine="420" w:firstLineChars="200"/>
        <w:jc w:val="left"/>
        <w:rPr>
          <w:rFonts w:ascii="宋体" w:hAnsi="宋体" w:cs="宋体"/>
          <w:bCs/>
          <w:color w:val="auto"/>
          <w:kern w:val="2"/>
          <w:szCs w:val="21"/>
          <w:highlight w:val="none"/>
        </w:rPr>
      </w:pPr>
      <w:r>
        <w:rPr>
          <w:rFonts w:hint="eastAsia" w:ascii="宋体" w:hAnsi="宋体" w:cs="宋体"/>
          <w:bCs/>
          <w:color w:val="auto"/>
          <w:kern w:val="2"/>
          <w:szCs w:val="21"/>
          <w:highlight w:val="none"/>
        </w:rPr>
        <w:t>双方在执行合同中所发生的一切争议，应通过协商解决。如协商不成，可向甲方所在地法院起诉。</w:t>
      </w:r>
    </w:p>
    <w:p w14:paraId="057F3AA9">
      <w:pPr>
        <w:spacing w:line="500" w:lineRule="exact"/>
        <w:ind w:firstLine="422" w:firstLineChars="200"/>
        <w:jc w:val="left"/>
        <w:rPr>
          <w:rFonts w:ascii="宋体" w:hAnsi="宋体" w:cs="宋体"/>
          <w:b/>
          <w:color w:val="auto"/>
          <w:kern w:val="2"/>
          <w:szCs w:val="21"/>
          <w:highlight w:val="none"/>
        </w:rPr>
      </w:pPr>
      <w:r>
        <w:rPr>
          <w:rFonts w:hint="eastAsia" w:ascii="宋体" w:hAnsi="宋体" w:cs="宋体"/>
          <w:b/>
          <w:color w:val="auto"/>
          <w:kern w:val="2"/>
          <w:szCs w:val="21"/>
          <w:highlight w:val="none"/>
        </w:rPr>
        <w:t>十七、合同生效及其它</w:t>
      </w:r>
    </w:p>
    <w:p w14:paraId="31409CD5">
      <w:pPr>
        <w:spacing w:line="500" w:lineRule="exact"/>
        <w:ind w:firstLine="420" w:firstLineChars="200"/>
        <w:jc w:val="left"/>
        <w:rPr>
          <w:rFonts w:ascii="宋体" w:hAnsi="宋体" w:cs="宋体"/>
          <w:bCs/>
          <w:color w:val="auto"/>
          <w:kern w:val="2"/>
          <w:szCs w:val="21"/>
          <w:highlight w:val="none"/>
        </w:rPr>
      </w:pPr>
      <w:r>
        <w:rPr>
          <w:rFonts w:hint="eastAsia" w:ascii="宋体" w:hAnsi="宋体" w:cs="宋体"/>
          <w:bCs/>
          <w:color w:val="auto"/>
          <w:kern w:val="2"/>
          <w:szCs w:val="21"/>
          <w:highlight w:val="none"/>
        </w:rPr>
        <w:t>1.合同经双方法定代表人或授权代表签字并加盖单位公章后生效。</w:t>
      </w:r>
    </w:p>
    <w:p w14:paraId="107382D9">
      <w:pPr>
        <w:spacing w:line="500" w:lineRule="exact"/>
        <w:ind w:firstLine="420" w:firstLineChars="200"/>
        <w:jc w:val="left"/>
        <w:rPr>
          <w:rFonts w:ascii="宋体" w:hAnsi="宋体" w:cs="宋体"/>
          <w:bCs/>
          <w:color w:val="auto"/>
          <w:kern w:val="2"/>
          <w:szCs w:val="21"/>
          <w:highlight w:val="none"/>
        </w:rPr>
      </w:pPr>
      <w:r>
        <w:rPr>
          <w:rFonts w:hint="eastAsia" w:ascii="宋体" w:hAnsi="宋体" w:cs="宋体"/>
          <w:bCs/>
          <w:color w:val="auto"/>
          <w:kern w:val="2"/>
          <w:szCs w:val="21"/>
          <w:highlight w:val="none"/>
        </w:rPr>
        <w:t>2.合同执行中涉及采购资金和采购内容修改或补充的，须经有关部门审批，并签书面补充协议报政府采购监督管理部门备案，方可作为主合同不可分割的一部分。</w:t>
      </w:r>
    </w:p>
    <w:p w14:paraId="59A924EF">
      <w:pPr>
        <w:spacing w:line="500" w:lineRule="exact"/>
        <w:ind w:firstLine="420" w:firstLineChars="200"/>
        <w:jc w:val="left"/>
        <w:rPr>
          <w:rFonts w:ascii="宋体" w:hAnsi="宋体" w:cs="宋体"/>
          <w:bCs/>
          <w:color w:val="auto"/>
          <w:kern w:val="2"/>
          <w:szCs w:val="21"/>
          <w:highlight w:val="none"/>
        </w:rPr>
      </w:pPr>
      <w:r>
        <w:rPr>
          <w:rFonts w:hint="eastAsia" w:ascii="宋体" w:hAnsi="宋体" w:cs="宋体"/>
          <w:bCs/>
          <w:color w:val="auto"/>
          <w:kern w:val="2"/>
          <w:szCs w:val="21"/>
          <w:highlight w:val="none"/>
        </w:rPr>
        <w:t>3.本合同未尽事宜，遵照《中华人民共和国民法典》有关条文执行。</w:t>
      </w:r>
    </w:p>
    <w:p w14:paraId="7CE775BA">
      <w:pPr>
        <w:spacing w:line="500" w:lineRule="exact"/>
        <w:ind w:firstLine="420" w:firstLineChars="200"/>
        <w:jc w:val="left"/>
        <w:rPr>
          <w:rFonts w:ascii="宋体" w:hAnsi="宋体" w:cs="宋体"/>
          <w:bCs/>
          <w:color w:val="auto"/>
          <w:kern w:val="2"/>
          <w:szCs w:val="21"/>
          <w:highlight w:val="none"/>
        </w:rPr>
      </w:pPr>
      <w:r>
        <w:rPr>
          <w:rFonts w:hint="eastAsia" w:ascii="宋体" w:hAnsi="宋体" w:cs="宋体"/>
          <w:bCs/>
          <w:color w:val="auto"/>
          <w:kern w:val="2"/>
          <w:szCs w:val="21"/>
          <w:highlight w:val="none"/>
        </w:rPr>
        <w:t>4.本合同正本一式五份，具有同等法律效力，甲乙双方各执贰份；副本一份(用于备案及存档)。</w:t>
      </w:r>
    </w:p>
    <w:p w14:paraId="27ED7294">
      <w:pPr>
        <w:spacing w:line="480" w:lineRule="auto"/>
        <w:jc w:val="left"/>
        <w:rPr>
          <w:color w:val="auto"/>
          <w:szCs w:val="21"/>
          <w:highlight w:val="none"/>
        </w:rPr>
      </w:pPr>
    </w:p>
    <w:p w14:paraId="4B389538">
      <w:pPr>
        <w:spacing w:line="480" w:lineRule="auto"/>
        <w:ind w:left="420" w:leftChars="200"/>
        <w:jc w:val="left"/>
        <w:rPr>
          <w:color w:val="auto"/>
          <w:szCs w:val="21"/>
          <w:highlight w:val="none"/>
        </w:rPr>
      </w:pPr>
      <w:r>
        <w:rPr>
          <w:rFonts w:hint="eastAsia"/>
          <w:color w:val="auto"/>
          <w:szCs w:val="21"/>
          <w:highlight w:val="none"/>
        </w:rPr>
        <w:t xml:space="preserve">甲方：                                      乙方： </w:t>
      </w:r>
    </w:p>
    <w:p w14:paraId="4A5E7BF4">
      <w:pPr>
        <w:spacing w:line="480" w:lineRule="auto"/>
        <w:ind w:left="420" w:leftChars="200"/>
        <w:jc w:val="left"/>
        <w:rPr>
          <w:rFonts w:ascii="宋体" w:hAnsi="宋体"/>
          <w:color w:val="auto"/>
          <w:szCs w:val="21"/>
          <w:highlight w:val="none"/>
        </w:rPr>
      </w:pPr>
      <w:r>
        <w:rPr>
          <w:rFonts w:hint="eastAsia" w:ascii="宋体" w:hAnsi="宋体"/>
          <w:color w:val="auto"/>
          <w:szCs w:val="21"/>
          <w:highlight w:val="none"/>
        </w:rPr>
        <w:t xml:space="preserve">地址：                                      地址： </w:t>
      </w:r>
    </w:p>
    <w:p w14:paraId="72F92D45">
      <w:pPr>
        <w:spacing w:line="480" w:lineRule="auto"/>
        <w:ind w:left="420" w:leftChars="200"/>
        <w:jc w:val="left"/>
        <w:rPr>
          <w:rFonts w:ascii="宋体" w:hAnsi="宋体"/>
          <w:color w:val="auto"/>
          <w:szCs w:val="21"/>
          <w:highlight w:val="none"/>
        </w:rPr>
      </w:pPr>
      <w:r>
        <w:rPr>
          <w:rFonts w:hint="eastAsia" w:ascii="宋体" w:hAnsi="宋体"/>
          <w:color w:val="auto"/>
          <w:szCs w:val="21"/>
          <w:highlight w:val="none"/>
        </w:rPr>
        <w:t>法定（授权）代表人：                        法定（授权）代表人：</w:t>
      </w:r>
    </w:p>
    <w:p w14:paraId="5A58DAB1">
      <w:pPr>
        <w:spacing w:line="480" w:lineRule="auto"/>
        <w:ind w:left="420" w:leftChars="200"/>
        <w:jc w:val="left"/>
        <w:rPr>
          <w:rFonts w:ascii="宋体" w:hAnsi="宋体"/>
          <w:color w:val="auto"/>
          <w:szCs w:val="21"/>
          <w:highlight w:val="none"/>
        </w:rPr>
      </w:pPr>
      <w:r>
        <w:rPr>
          <w:rFonts w:hint="eastAsia" w:ascii="宋体" w:hAnsi="宋体"/>
          <w:color w:val="auto"/>
          <w:szCs w:val="21"/>
          <w:highlight w:val="none"/>
        </w:rPr>
        <w:t>签字日期：      年  月  日                  签字日期：      年  月  日</w:t>
      </w:r>
    </w:p>
    <w:p w14:paraId="7368D2A5">
      <w:pPr>
        <w:spacing w:line="240" w:lineRule="auto"/>
        <w:rPr>
          <w:rFonts w:ascii="宋体" w:hAnsi="宋体"/>
          <w:color w:val="auto"/>
          <w:szCs w:val="21"/>
          <w:highlight w:val="none"/>
        </w:rPr>
      </w:pPr>
      <w:r>
        <w:rPr>
          <w:rFonts w:hint="eastAsia" w:ascii="宋体" w:hAnsi="宋体"/>
          <w:color w:val="auto"/>
          <w:szCs w:val="21"/>
          <w:highlight w:val="none"/>
        </w:rPr>
        <w:br w:type="page"/>
      </w:r>
    </w:p>
    <w:p w14:paraId="0EF10508">
      <w:pPr>
        <w:ind w:firstLine="214"/>
        <w:jc w:val="center"/>
        <w:rPr>
          <w:rFonts w:ascii="宋体" w:hAnsi="宋体"/>
          <w:b/>
          <w:color w:val="auto"/>
          <w:sz w:val="30"/>
          <w:szCs w:val="30"/>
          <w:highlight w:val="none"/>
        </w:rPr>
      </w:pPr>
      <w:r>
        <w:rPr>
          <w:rFonts w:hint="eastAsia" w:ascii="宋体" w:hAnsi="宋体"/>
          <w:b/>
          <w:color w:val="auto"/>
          <w:sz w:val="30"/>
          <w:szCs w:val="30"/>
          <w:highlight w:val="none"/>
        </w:rPr>
        <w:t>安 全 合 同</w:t>
      </w:r>
    </w:p>
    <w:p w14:paraId="2DDEE5EB">
      <w:pPr>
        <w:widowControl/>
        <w:spacing w:line="480" w:lineRule="exact"/>
        <w:ind w:firstLine="420"/>
        <w:jc w:val="left"/>
        <w:rPr>
          <w:rFonts w:ascii="宋体" w:hAnsi="宋体" w:cs="宋体"/>
          <w:color w:val="auto"/>
          <w:szCs w:val="21"/>
          <w:highlight w:val="none"/>
        </w:rPr>
      </w:pPr>
      <w:r>
        <w:rPr>
          <w:rFonts w:hint="eastAsia" w:ascii="宋体" w:hAnsi="宋体" w:cs="宋体"/>
          <w:color w:val="auto"/>
          <w:szCs w:val="21"/>
          <w:highlight w:val="none"/>
        </w:rPr>
        <w:t>为在</w:t>
      </w:r>
      <w:r>
        <w:rPr>
          <w:rFonts w:hint="eastAsia" w:ascii="宋体" w:hAnsi="宋体"/>
          <w:color w:val="auto"/>
          <w:szCs w:val="21"/>
          <w:highlight w:val="none"/>
          <w:u w:val="single"/>
        </w:rPr>
        <w:t xml:space="preserve"> </w:t>
      </w:r>
      <w:r>
        <w:rPr>
          <w:rFonts w:ascii="宋体" w:hAnsi="宋体"/>
          <w:color w:val="auto"/>
          <w:szCs w:val="21"/>
          <w:highlight w:val="none"/>
          <w:u w:val="single"/>
        </w:rPr>
        <w:t xml:space="preserve"> </w:t>
      </w:r>
      <w:r>
        <w:rPr>
          <w:rFonts w:hint="eastAsia" w:ascii="宋体" w:hAnsi="宋体"/>
          <w:color w:val="auto"/>
          <w:szCs w:val="21"/>
          <w:highlight w:val="none"/>
          <w:u w:val="single"/>
        </w:rPr>
        <w:t xml:space="preserve"> </w:t>
      </w:r>
      <w:r>
        <w:rPr>
          <w:rFonts w:ascii="宋体" w:hAnsi="宋体"/>
          <w:color w:val="auto"/>
          <w:szCs w:val="21"/>
          <w:highlight w:val="none"/>
          <w:u w:val="single"/>
        </w:rPr>
        <w:t xml:space="preserve">                   </w:t>
      </w:r>
      <w:r>
        <w:rPr>
          <w:rFonts w:hint="eastAsia" w:ascii="宋体" w:hAnsi="宋体" w:cs="宋体"/>
          <w:color w:val="auto"/>
          <w:szCs w:val="21"/>
          <w:highlight w:val="none"/>
        </w:rPr>
        <w:t xml:space="preserve">合同的实施过程中创造安全、高效的环境，切实搞好本项目的安全管理工作，本项目 </w:t>
      </w:r>
      <w:r>
        <w:rPr>
          <w:rFonts w:hint="eastAsia" w:ascii="宋体" w:hAnsi="宋体" w:cs="宋体"/>
          <w:color w:val="auto"/>
          <w:szCs w:val="21"/>
          <w:highlight w:val="none"/>
          <w:u w:val="single"/>
        </w:rPr>
        <w:t xml:space="preserve">  </w:t>
      </w:r>
      <w:r>
        <w:rPr>
          <w:rFonts w:ascii="宋体" w:hAnsi="宋体" w:cs="宋体"/>
          <w:color w:val="auto"/>
          <w:szCs w:val="21"/>
          <w:highlight w:val="none"/>
          <w:u w:val="single"/>
        </w:rPr>
        <w:t xml:space="preserve">                    </w:t>
      </w:r>
      <w:r>
        <w:rPr>
          <w:rFonts w:hint="eastAsia" w:ascii="宋体" w:hAnsi="宋体" w:cs="宋体"/>
          <w:color w:val="auto"/>
          <w:szCs w:val="21"/>
          <w:highlight w:val="none"/>
        </w:rPr>
        <w:t>（以下简称“甲方”）与</w:t>
      </w:r>
      <w:r>
        <w:rPr>
          <w:rFonts w:hint="eastAsia" w:ascii="宋体" w:hAnsi="宋体" w:cs="宋体"/>
          <w:color w:val="auto"/>
          <w:szCs w:val="21"/>
          <w:highlight w:val="none"/>
          <w:u w:val="single"/>
        </w:rPr>
        <w:t xml:space="preserve"> </w:t>
      </w:r>
      <w:r>
        <w:rPr>
          <w:rFonts w:ascii="宋体" w:hAnsi="宋体" w:cs="宋体"/>
          <w:color w:val="auto"/>
          <w:szCs w:val="21"/>
          <w:highlight w:val="none"/>
          <w:u w:val="single"/>
        </w:rPr>
        <w:t xml:space="preserve">               </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（以下简称“乙方”）特此签订安全合同：</w:t>
      </w:r>
    </w:p>
    <w:p w14:paraId="33365B51">
      <w:pPr>
        <w:widowControl/>
        <w:spacing w:line="480" w:lineRule="exact"/>
        <w:ind w:firstLine="422"/>
        <w:jc w:val="left"/>
        <w:rPr>
          <w:rFonts w:ascii="宋体" w:hAnsi="宋体" w:cs="宋体"/>
          <w:color w:val="auto"/>
          <w:szCs w:val="21"/>
          <w:highlight w:val="none"/>
        </w:rPr>
      </w:pPr>
      <w:r>
        <w:rPr>
          <w:rFonts w:hint="eastAsia" w:ascii="宋体" w:hAnsi="宋体" w:cs="宋体"/>
          <w:b/>
          <w:bCs/>
          <w:color w:val="auto"/>
          <w:szCs w:val="21"/>
          <w:highlight w:val="none"/>
        </w:rPr>
        <w:t>一、甲方职责</w:t>
      </w:r>
    </w:p>
    <w:p w14:paraId="6124B756">
      <w:pPr>
        <w:widowControl/>
        <w:spacing w:line="480" w:lineRule="exact"/>
        <w:ind w:firstLine="420"/>
        <w:jc w:val="left"/>
        <w:rPr>
          <w:rFonts w:ascii="宋体" w:hAnsi="宋体" w:cs="宋体"/>
          <w:color w:val="auto"/>
          <w:szCs w:val="21"/>
          <w:highlight w:val="none"/>
        </w:rPr>
      </w:pPr>
      <w:r>
        <w:rPr>
          <w:rFonts w:hint="eastAsia" w:ascii="宋体" w:hAnsi="宋体" w:cs="宋体"/>
          <w:color w:val="auto"/>
          <w:szCs w:val="21"/>
          <w:highlight w:val="none"/>
        </w:rPr>
        <w:t>1、严格遵守国家有关安全生产的法律法规，认真执行租赁服务合同中的有关安全要求。</w:t>
      </w:r>
    </w:p>
    <w:p w14:paraId="657FEAAD">
      <w:pPr>
        <w:widowControl/>
        <w:spacing w:line="480" w:lineRule="exact"/>
        <w:ind w:firstLine="420"/>
        <w:jc w:val="left"/>
        <w:rPr>
          <w:rFonts w:ascii="宋体" w:hAnsi="宋体" w:cs="宋体"/>
          <w:color w:val="auto"/>
          <w:szCs w:val="21"/>
          <w:highlight w:val="none"/>
        </w:rPr>
      </w:pPr>
      <w:r>
        <w:rPr>
          <w:rFonts w:hint="eastAsia" w:ascii="宋体" w:hAnsi="宋体" w:cs="宋体"/>
          <w:color w:val="auto"/>
          <w:szCs w:val="21"/>
          <w:highlight w:val="none"/>
        </w:rPr>
        <w:t>2、按照“安全第一、预防为主”的原则进行安全管理。</w:t>
      </w:r>
    </w:p>
    <w:p w14:paraId="382CC557">
      <w:pPr>
        <w:widowControl/>
        <w:spacing w:line="480" w:lineRule="exact"/>
        <w:ind w:firstLine="420"/>
        <w:jc w:val="left"/>
        <w:rPr>
          <w:rFonts w:ascii="宋体" w:hAnsi="宋体" w:cs="宋体"/>
          <w:color w:val="auto"/>
          <w:szCs w:val="21"/>
          <w:highlight w:val="none"/>
        </w:rPr>
      </w:pPr>
      <w:r>
        <w:rPr>
          <w:rFonts w:hint="eastAsia" w:ascii="宋体" w:hAnsi="宋体" w:cs="宋体"/>
          <w:color w:val="auto"/>
          <w:szCs w:val="21"/>
          <w:highlight w:val="none"/>
        </w:rPr>
        <w:t>3、组织对乙方项目服务现场安全检查，监督乙方及时发现并处理各种安全隐患。</w:t>
      </w:r>
    </w:p>
    <w:p w14:paraId="404D3468">
      <w:pPr>
        <w:widowControl/>
        <w:spacing w:line="480" w:lineRule="exact"/>
        <w:ind w:firstLine="422"/>
        <w:jc w:val="left"/>
        <w:rPr>
          <w:rFonts w:ascii="宋体" w:hAnsi="宋体" w:cs="宋体"/>
          <w:color w:val="auto"/>
          <w:szCs w:val="21"/>
          <w:highlight w:val="none"/>
        </w:rPr>
      </w:pPr>
      <w:r>
        <w:rPr>
          <w:rFonts w:hint="eastAsia" w:ascii="宋体" w:hAnsi="宋体" w:cs="宋体"/>
          <w:b/>
          <w:bCs/>
          <w:color w:val="auto"/>
          <w:szCs w:val="21"/>
          <w:highlight w:val="none"/>
        </w:rPr>
        <w:t>二、乙方职责</w:t>
      </w:r>
    </w:p>
    <w:p w14:paraId="2CEA32E6">
      <w:pPr>
        <w:widowControl/>
        <w:spacing w:line="480" w:lineRule="exact"/>
        <w:ind w:firstLine="420"/>
        <w:jc w:val="left"/>
        <w:rPr>
          <w:rFonts w:ascii="宋体" w:hAnsi="宋体" w:cs="宋体"/>
          <w:color w:val="auto"/>
          <w:szCs w:val="21"/>
          <w:highlight w:val="none"/>
        </w:rPr>
      </w:pPr>
      <w:r>
        <w:rPr>
          <w:rFonts w:hint="eastAsia" w:ascii="宋体" w:hAnsi="宋体" w:cs="宋体"/>
          <w:color w:val="auto"/>
          <w:szCs w:val="21"/>
          <w:highlight w:val="none"/>
        </w:rPr>
        <w:t>1、严格遵守国家有关安全生产的法律法规、相关部门颁发的有关安全生产的规定，认真执行项目服务合同中的有关安全要求。</w:t>
      </w:r>
    </w:p>
    <w:p w14:paraId="1589B322">
      <w:pPr>
        <w:widowControl/>
        <w:spacing w:line="480" w:lineRule="exact"/>
        <w:ind w:firstLine="420"/>
        <w:jc w:val="left"/>
        <w:rPr>
          <w:rFonts w:ascii="宋体" w:hAnsi="宋体" w:cs="宋体"/>
          <w:color w:val="auto"/>
          <w:szCs w:val="21"/>
          <w:highlight w:val="none"/>
        </w:rPr>
      </w:pPr>
      <w:r>
        <w:rPr>
          <w:rFonts w:hint="eastAsia" w:ascii="宋体" w:hAnsi="宋体" w:cs="宋体"/>
          <w:color w:val="auto"/>
          <w:szCs w:val="21"/>
          <w:highlight w:val="none"/>
        </w:rPr>
        <w:t>2、坚持“安全第一、预防为主”的原则，加强安全宣传教育，增强全员安全意识，建立健全的安全管理机构和安全管理制度，配备专职及兼职安全检查人员，有组织有领导地开展活动。各级领导和具体服务人员，必须熟悉和遵守本条款的各项规定，做到服务与安全工作同时计划、布置、检查、总结和评比。</w:t>
      </w:r>
    </w:p>
    <w:p w14:paraId="02697855">
      <w:pPr>
        <w:widowControl/>
        <w:spacing w:line="480" w:lineRule="exact"/>
        <w:ind w:firstLine="420"/>
        <w:jc w:val="left"/>
        <w:rPr>
          <w:rFonts w:ascii="宋体" w:hAnsi="宋体" w:cs="宋体"/>
          <w:color w:val="auto"/>
          <w:szCs w:val="21"/>
          <w:highlight w:val="none"/>
        </w:rPr>
      </w:pPr>
      <w:r>
        <w:rPr>
          <w:rFonts w:hint="eastAsia" w:ascii="宋体" w:hAnsi="宋体" w:cs="宋体"/>
          <w:color w:val="auto"/>
          <w:szCs w:val="21"/>
          <w:highlight w:val="none"/>
        </w:rPr>
        <w:t>3、建立健全安全责任制。从派往项目实施的</w:t>
      </w:r>
      <w:r>
        <w:rPr>
          <w:rFonts w:hint="eastAsia" w:ascii="宋体" w:hAnsi="宋体"/>
          <w:color w:val="auto"/>
          <w:szCs w:val="21"/>
          <w:highlight w:val="none"/>
        </w:rPr>
        <w:t>项目经理、现场管理人员</w:t>
      </w:r>
      <w:r>
        <w:rPr>
          <w:rFonts w:hint="eastAsia" w:ascii="宋体" w:hAnsi="宋体" w:cs="宋体"/>
          <w:color w:val="auto"/>
          <w:szCs w:val="21"/>
          <w:highlight w:val="none"/>
        </w:rPr>
        <w:t>到服务人员的安全生产管理系统必须做到纵向到底，一环不漏；各职能部门、人员的安全生产责任制做到横向到边，人人有责。项目经理是安全的第一责任人。</w:t>
      </w:r>
    </w:p>
    <w:p w14:paraId="1A7547AB">
      <w:pPr>
        <w:widowControl/>
        <w:spacing w:line="480" w:lineRule="exact"/>
        <w:ind w:firstLine="420"/>
        <w:jc w:val="left"/>
        <w:rPr>
          <w:rFonts w:ascii="宋体" w:hAnsi="宋体" w:cs="宋体"/>
          <w:color w:val="auto"/>
          <w:szCs w:val="21"/>
          <w:highlight w:val="none"/>
        </w:rPr>
      </w:pPr>
      <w:r>
        <w:rPr>
          <w:rFonts w:hint="eastAsia" w:ascii="宋体" w:hAnsi="宋体" w:cs="宋体"/>
          <w:color w:val="auto"/>
          <w:szCs w:val="21"/>
          <w:highlight w:val="none"/>
        </w:rPr>
        <w:t>4、乙方在任何时候都应采取各种合理的预防措施，防止其员工发生任何违法、违禁、暴力或防碍治安的行为。</w:t>
      </w:r>
    </w:p>
    <w:p w14:paraId="53802E3E">
      <w:pPr>
        <w:widowControl/>
        <w:spacing w:line="480" w:lineRule="exact"/>
        <w:ind w:firstLine="420"/>
        <w:jc w:val="left"/>
        <w:rPr>
          <w:rFonts w:ascii="宋体" w:hAnsi="宋体" w:cs="宋体"/>
          <w:color w:val="auto"/>
          <w:szCs w:val="21"/>
          <w:highlight w:val="none"/>
        </w:rPr>
      </w:pPr>
      <w:r>
        <w:rPr>
          <w:rFonts w:hint="eastAsia" w:ascii="宋体" w:hAnsi="宋体" w:cs="宋体"/>
          <w:color w:val="auto"/>
          <w:szCs w:val="21"/>
          <w:highlight w:val="none"/>
        </w:rPr>
        <w:t>5、服务人员上岗，必须按规定穿戴防护用品。项目经理和现场管理人员应随时检查劳动防护用品的穿戴情况，不按规定穿戴防护用品的人员不得上岗。</w:t>
      </w:r>
    </w:p>
    <w:p w14:paraId="1F0B2194">
      <w:pPr>
        <w:widowControl/>
        <w:spacing w:line="480" w:lineRule="exact"/>
        <w:ind w:firstLine="420"/>
        <w:jc w:val="left"/>
        <w:rPr>
          <w:rFonts w:ascii="宋体" w:hAnsi="宋体" w:cs="宋体"/>
          <w:color w:val="auto"/>
          <w:szCs w:val="21"/>
          <w:highlight w:val="none"/>
        </w:rPr>
      </w:pPr>
      <w:r>
        <w:rPr>
          <w:rFonts w:hint="eastAsia" w:ascii="宋体" w:hAnsi="宋体" w:cs="宋体"/>
          <w:color w:val="auto"/>
          <w:szCs w:val="21"/>
          <w:highlight w:val="none"/>
        </w:rPr>
        <w:t>6、所有机具设备均应定期检查，并有签字记录，保证其经常处于完好状态；不合格的机具、设备和劳动保护用品严禁使用。</w:t>
      </w:r>
    </w:p>
    <w:p w14:paraId="58168278">
      <w:pPr>
        <w:widowControl/>
        <w:spacing w:line="480" w:lineRule="exact"/>
        <w:ind w:firstLine="420"/>
        <w:jc w:val="left"/>
        <w:rPr>
          <w:rFonts w:ascii="宋体" w:hAnsi="宋体" w:cs="宋体"/>
          <w:color w:val="auto"/>
          <w:szCs w:val="21"/>
          <w:highlight w:val="none"/>
        </w:rPr>
      </w:pPr>
      <w:r>
        <w:rPr>
          <w:rFonts w:hint="eastAsia" w:ascii="宋体" w:hAnsi="宋体" w:cs="宋体"/>
          <w:color w:val="auto"/>
          <w:szCs w:val="21"/>
          <w:highlight w:val="none"/>
        </w:rPr>
        <w:t>7、乙方应对安全技术资料建立档案，安全技术资料应当真实、完整齐全。</w:t>
      </w:r>
    </w:p>
    <w:p w14:paraId="29B93E3F">
      <w:pPr>
        <w:spacing w:line="480" w:lineRule="exact"/>
        <w:ind w:firstLine="420"/>
        <w:jc w:val="left"/>
        <w:rPr>
          <w:rFonts w:ascii="宋体" w:hAnsi="宋体" w:cs="宋体"/>
          <w:color w:val="auto"/>
          <w:szCs w:val="21"/>
          <w:highlight w:val="none"/>
        </w:rPr>
      </w:pPr>
      <w:r>
        <w:rPr>
          <w:rFonts w:hint="eastAsia" w:ascii="宋体" w:hAnsi="宋体" w:cs="宋体"/>
          <w:color w:val="auto"/>
          <w:szCs w:val="21"/>
          <w:highlight w:val="none"/>
        </w:rPr>
        <w:t>8、乙方应当接受甲方及政府安全监督机构对其安全生产的监督检查。对于检查单位下达的整改意见通知，乙方要立即予以整改，由此发生的费用乙方自负。</w:t>
      </w:r>
    </w:p>
    <w:p w14:paraId="0DAEC363">
      <w:pPr>
        <w:spacing w:line="480" w:lineRule="exact"/>
        <w:ind w:firstLine="420"/>
        <w:jc w:val="left"/>
        <w:rPr>
          <w:rFonts w:ascii="宋体" w:hAnsi="宋体" w:cs="宋体"/>
          <w:color w:val="auto"/>
          <w:szCs w:val="21"/>
          <w:highlight w:val="none"/>
        </w:rPr>
      </w:pPr>
      <w:r>
        <w:rPr>
          <w:rFonts w:hint="eastAsia" w:ascii="宋体" w:hAnsi="宋体" w:cs="宋体"/>
          <w:color w:val="auto"/>
          <w:szCs w:val="21"/>
          <w:highlight w:val="none"/>
        </w:rPr>
        <w:t>9、乙方必须按照本项目特点，组织制定本项目实施中的安全事故应急救援预案；如果发生安全事故，应按照《国务院关于特大安全事故行政责任追究的规定》以及其它有关规定，及时上报有关部门，并坚持“三不放过”的原则，严肃处理相关责任人。</w:t>
      </w:r>
    </w:p>
    <w:p w14:paraId="42F8089F">
      <w:pPr>
        <w:widowControl/>
        <w:spacing w:line="480" w:lineRule="exact"/>
        <w:ind w:firstLine="420"/>
        <w:jc w:val="left"/>
        <w:rPr>
          <w:rFonts w:ascii="宋体" w:hAnsi="宋体" w:cs="宋体"/>
          <w:color w:val="auto"/>
          <w:szCs w:val="21"/>
          <w:highlight w:val="none"/>
        </w:rPr>
      </w:pPr>
      <w:r>
        <w:rPr>
          <w:rFonts w:hint="eastAsia" w:ascii="宋体" w:hAnsi="宋体" w:cs="宋体"/>
          <w:color w:val="auto"/>
          <w:szCs w:val="21"/>
          <w:highlight w:val="none"/>
        </w:rPr>
        <w:t>10、发生重大伤亡及其他安全事故，乙方应按有关规定立即上报有关部门并通知甲方，同时按政府有关部门要求处理。</w:t>
      </w:r>
    </w:p>
    <w:p w14:paraId="1ACA7748">
      <w:pPr>
        <w:widowControl/>
        <w:spacing w:line="480" w:lineRule="exact"/>
        <w:ind w:firstLine="422"/>
        <w:jc w:val="left"/>
        <w:rPr>
          <w:rFonts w:ascii="宋体" w:hAnsi="宋体" w:cs="宋体"/>
          <w:b/>
          <w:bCs/>
          <w:color w:val="auto"/>
          <w:szCs w:val="21"/>
          <w:highlight w:val="none"/>
        </w:rPr>
      </w:pPr>
      <w:r>
        <w:rPr>
          <w:rFonts w:hint="eastAsia" w:ascii="宋体" w:hAnsi="宋体" w:cs="宋体"/>
          <w:b/>
          <w:bCs/>
          <w:color w:val="auto"/>
          <w:szCs w:val="21"/>
          <w:highlight w:val="none"/>
        </w:rPr>
        <w:t>三、违约责任</w:t>
      </w:r>
    </w:p>
    <w:p w14:paraId="306B452A">
      <w:pPr>
        <w:widowControl/>
        <w:spacing w:line="480" w:lineRule="exact"/>
        <w:ind w:firstLine="420"/>
        <w:jc w:val="left"/>
        <w:rPr>
          <w:rFonts w:ascii="宋体" w:hAnsi="宋体" w:cs="宋体"/>
          <w:color w:val="auto"/>
          <w:szCs w:val="21"/>
          <w:highlight w:val="none"/>
        </w:rPr>
      </w:pPr>
      <w:r>
        <w:rPr>
          <w:rFonts w:hint="eastAsia" w:ascii="宋体" w:hAnsi="宋体" w:cs="宋体"/>
          <w:color w:val="auto"/>
          <w:szCs w:val="21"/>
          <w:highlight w:val="none"/>
        </w:rPr>
        <w:t>1、乙方应对发生在本项目服务期间的交通安全、安全事故（包括人损）负全部法律责任，并承担由此而产生的一切经济损失。</w:t>
      </w:r>
    </w:p>
    <w:p w14:paraId="25A46045">
      <w:pPr>
        <w:widowControl/>
        <w:spacing w:line="480" w:lineRule="exact"/>
        <w:ind w:firstLine="420"/>
        <w:jc w:val="left"/>
        <w:rPr>
          <w:rFonts w:ascii="宋体" w:hAnsi="宋体" w:cs="宋体"/>
          <w:color w:val="auto"/>
          <w:szCs w:val="21"/>
          <w:highlight w:val="none"/>
        </w:rPr>
      </w:pPr>
      <w:r>
        <w:rPr>
          <w:rFonts w:hint="eastAsia" w:ascii="宋体" w:hAnsi="宋体" w:cs="宋体"/>
          <w:color w:val="auto"/>
          <w:szCs w:val="21"/>
          <w:highlight w:val="none"/>
        </w:rPr>
        <w:t>2、如乙方发生安全事故不及时妥善处理，引起纠纷或诉讼，甲方有权扣留其履约保证金和未付合同款用于支付事故处理费用。</w:t>
      </w:r>
    </w:p>
    <w:p w14:paraId="5ADAE5B6">
      <w:pPr>
        <w:spacing w:line="480" w:lineRule="exact"/>
        <w:ind w:firstLine="420"/>
        <w:rPr>
          <w:rFonts w:ascii="宋体" w:hAnsi="宋体" w:cs="宋体"/>
          <w:color w:val="auto"/>
          <w:szCs w:val="21"/>
          <w:highlight w:val="none"/>
        </w:rPr>
      </w:pPr>
      <w:r>
        <w:rPr>
          <w:rFonts w:hint="eastAsia" w:ascii="宋体" w:hAnsi="宋体" w:cs="宋体"/>
          <w:color w:val="auto"/>
          <w:szCs w:val="21"/>
          <w:highlight w:val="none"/>
        </w:rPr>
        <w:t>3、本合同一式四份，正本二份、副本二份，甲、乙双方各执二份。由双方法定代表人或其授权的代理人签署与加盖公章后生效，</w:t>
      </w:r>
      <w:r>
        <w:rPr>
          <w:rFonts w:hint="eastAsia" w:ascii="宋体" w:hAnsi="宋体"/>
          <w:bCs/>
          <w:color w:val="auto"/>
          <w:szCs w:val="21"/>
          <w:highlight w:val="none"/>
        </w:rPr>
        <w:t>甲、乙双方所签定的安全合同的时效与服务合同时效等同</w:t>
      </w:r>
      <w:r>
        <w:rPr>
          <w:rFonts w:hint="eastAsia" w:ascii="宋体" w:hAnsi="宋体" w:cs="宋体"/>
          <w:color w:val="auto"/>
          <w:szCs w:val="21"/>
          <w:highlight w:val="none"/>
        </w:rPr>
        <w:t>。</w:t>
      </w:r>
    </w:p>
    <w:p w14:paraId="245674CF">
      <w:pPr>
        <w:spacing w:line="500" w:lineRule="exact"/>
        <w:ind w:firstLine="735"/>
        <w:rPr>
          <w:rFonts w:ascii="宋体" w:hAnsi="宋体" w:cs="宋体"/>
          <w:color w:val="auto"/>
          <w:szCs w:val="21"/>
          <w:highlight w:val="none"/>
        </w:rPr>
      </w:pPr>
    </w:p>
    <w:p w14:paraId="0BE3DC78">
      <w:pPr>
        <w:spacing w:line="500" w:lineRule="exact"/>
        <w:ind w:firstLine="420"/>
        <w:rPr>
          <w:rFonts w:ascii="宋体" w:hAnsi="宋体" w:cs="宋体"/>
          <w:color w:val="auto"/>
          <w:szCs w:val="21"/>
          <w:highlight w:val="none"/>
        </w:rPr>
      </w:pPr>
      <w:r>
        <w:rPr>
          <w:rFonts w:hint="eastAsia" w:ascii="宋体" w:hAnsi="宋体" w:cs="宋体"/>
          <w:color w:val="auto"/>
          <w:szCs w:val="21"/>
          <w:highlight w:val="none"/>
        </w:rPr>
        <w:t>甲方：（盖章）                               乙方：（盖章）</w:t>
      </w:r>
    </w:p>
    <w:p w14:paraId="532CBB7A">
      <w:pPr>
        <w:spacing w:line="500" w:lineRule="exact"/>
        <w:ind w:firstLine="420"/>
        <w:rPr>
          <w:rFonts w:ascii="宋体" w:hAnsi="宋体" w:cs="宋体"/>
          <w:color w:val="auto"/>
          <w:szCs w:val="21"/>
          <w:highlight w:val="none"/>
        </w:rPr>
      </w:pPr>
      <w:r>
        <w:rPr>
          <w:rFonts w:hint="eastAsia" w:ascii="宋体" w:hAnsi="宋体" w:cs="宋体"/>
          <w:color w:val="auto"/>
          <w:szCs w:val="21"/>
          <w:highlight w:val="none"/>
        </w:rPr>
        <w:t>法定代表人  　　　　　　　　                 法定代表人</w:t>
      </w:r>
    </w:p>
    <w:p w14:paraId="71FE9773">
      <w:pPr>
        <w:spacing w:line="500" w:lineRule="exact"/>
        <w:ind w:firstLine="420"/>
        <w:rPr>
          <w:rFonts w:ascii="宋体" w:hAnsi="宋体" w:cs="宋体"/>
          <w:color w:val="auto"/>
          <w:szCs w:val="21"/>
          <w:highlight w:val="none"/>
        </w:rPr>
      </w:pPr>
      <w:r>
        <w:rPr>
          <w:rFonts w:hint="eastAsia" w:ascii="宋体" w:hAnsi="宋体" w:cs="宋体"/>
          <w:color w:val="auto"/>
          <w:szCs w:val="21"/>
          <w:highlight w:val="none"/>
        </w:rPr>
        <w:t>或授权委托人：　　　　　　　　　　           或授权委托人：</w:t>
      </w:r>
    </w:p>
    <w:p w14:paraId="6262146F">
      <w:pPr>
        <w:spacing w:line="500" w:lineRule="exact"/>
        <w:ind w:firstLine="420"/>
        <w:rPr>
          <w:rFonts w:ascii="宋体" w:hAnsi="宋体" w:cs="宋体"/>
          <w:color w:val="auto"/>
          <w:szCs w:val="21"/>
          <w:highlight w:val="none"/>
        </w:rPr>
      </w:pPr>
      <w:r>
        <w:rPr>
          <w:rFonts w:hint="eastAsia" w:ascii="宋体" w:hAnsi="宋体" w:cs="宋体"/>
          <w:color w:val="auto"/>
          <w:szCs w:val="21"/>
          <w:highlight w:val="none"/>
        </w:rPr>
        <w:t>签订日期：　　年　 月　 日                   签订日期： 　年　 月　 日</w:t>
      </w:r>
    </w:p>
    <w:p w14:paraId="25D76328">
      <w:pPr>
        <w:spacing w:line="360" w:lineRule="exact"/>
        <w:jc w:val="center"/>
        <w:rPr>
          <w:rFonts w:ascii="宋体" w:hAnsi="宋体" w:cs="宋体"/>
          <w:b/>
          <w:color w:val="auto"/>
          <w:sz w:val="30"/>
          <w:szCs w:val="30"/>
          <w:highlight w:val="none"/>
        </w:rPr>
      </w:pPr>
      <w:r>
        <w:rPr>
          <w:rFonts w:ascii="宋体" w:hAnsi="宋体"/>
          <w:color w:val="auto"/>
          <w:sz w:val="24"/>
          <w:highlight w:val="none"/>
        </w:rPr>
        <w:br w:type="page" w:clear="all"/>
      </w:r>
      <w:r>
        <w:rPr>
          <w:rFonts w:hint="eastAsia" w:ascii="宋体" w:hAnsi="宋体" w:cs="宋体"/>
          <w:b/>
          <w:color w:val="auto"/>
          <w:sz w:val="30"/>
          <w:szCs w:val="30"/>
          <w:highlight w:val="none"/>
        </w:rPr>
        <w:t>廉 政 合 同</w:t>
      </w:r>
    </w:p>
    <w:p w14:paraId="7D318E7E">
      <w:pPr>
        <w:spacing w:line="480" w:lineRule="exact"/>
        <w:ind w:left="368" w:right="281" w:rightChars="134" w:hanging="367" w:hangingChars="175"/>
        <w:rPr>
          <w:rFonts w:ascii="宋体" w:hAnsi="宋体" w:cs="宋体"/>
          <w:color w:val="auto"/>
          <w:szCs w:val="21"/>
          <w:highlight w:val="none"/>
        </w:rPr>
      </w:pPr>
      <w:r>
        <w:rPr>
          <w:rFonts w:hint="eastAsia" w:ascii="宋体" w:hAnsi="宋体" w:cs="宋体"/>
          <w:color w:val="auto"/>
          <w:szCs w:val="21"/>
          <w:highlight w:val="none"/>
        </w:rPr>
        <w:t xml:space="preserve">甲方：              </w:t>
      </w:r>
      <w:r>
        <w:rPr>
          <w:rFonts w:hint="eastAsia" w:ascii="宋体" w:hAnsi="宋体" w:cs="宋体"/>
          <w:color w:val="auto"/>
          <w:szCs w:val="21"/>
          <w:highlight w:val="none"/>
        </w:rPr>
        <w:tab/>
      </w:r>
    </w:p>
    <w:p w14:paraId="1AC111C5">
      <w:pPr>
        <w:spacing w:line="480" w:lineRule="exact"/>
        <w:ind w:left="368" w:right="281" w:rightChars="134" w:hanging="367" w:hangingChars="175"/>
        <w:rPr>
          <w:rFonts w:ascii="宋体" w:hAnsi="宋体" w:cs="宋体"/>
          <w:color w:val="auto"/>
          <w:szCs w:val="21"/>
          <w:highlight w:val="none"/>
        </w:rPr>
      </w:pPr>
      <w:r>
        <w:rPr>
          <w:rFonts w:hint="eastAsia" w:ascii="宋体" w:hAnsi="宋体" w:cs="宋体"/>
          <w:color w:val="auto"/>
          <w:szCs w:val="21"/>
          <w:highlight w:val="none"/>
        </w:rPr>
        <w:t xml:space="preserve">乙方：                   </w:t>
      </w:r>
    </w:p>
    <w:p w14:paraId="7F3F65D3">
      <w:pPr>
        <w:spacing w:line="480" w:lineRule="exact"/>
        <w:ind w:firstLine="420" w:firstLineChars="200"/>
        <w:jc w:val="left"/>
        <w:rPr>
          <w:rFonts w:ascii="宋体" w:hAnsi="宋体" w:cs="宋体"/>
          <w:color w:val="auto"/>
          <w:szCs w:val="21"/>
          <w:highlight w:val="none"/>
        </w:rPr>
      </w:pPr>
      <w:r>
        <w:rPr>
          <w:rFonts w:hint="eastAsia" w:ascii="宋体" w:hAnsi="宋体" w:cs="宋体"/>
          <w:color w:val="auto"/>
          <w:szCs w:val="21"/>
          <w:highlight w:val="none"/>
        </w:rPr>
        <w:t>为强化抓源治本工作力度，从制度机制上进一步规范建设行为，杜绝不廉洁行为，特订立本合同，双方遵照执行。</w:t>
      </w:r>
    </w:p>
    <w:p w14:paraId="574F8642">
      <w:pPr>
        <w:spacing w:line="480" w:lineRule="exact"/>
        <w:ind w:firstLine="420" w:firstLineChars="200"/>
        <w:jc w:val="left"/>
        <w:rPr>
          <w:rFonts w:ascii="宋体" w:hAnsi="宋体" w:cs="宋体"/>
          <w:color w:val="auto"/>
          <w:szCs w:val="21"/>
          <w:highlight w:val="none"/>
        </w:rPr>
      </w:pPr>
      <w:r>
        <w:rPr>
          <w:rFonts w:hint="eastAsia" w:ascii="宋体" w:hAnsi="宋体" w:cs="宋体"/>
          <w:color w:val="auto"/>
          <w:szCs w:val="21"/>
          <w:highlight w:val="none"/>
        </w:rPr>
        <w:t>1、甲、乙双方必须严格遵守国家法律、法规、政策及各项廉政规定，恪守职业道德规范。</w:t>
      </w:r>
    </w:p>
    <w:p w14:paraId="2E0A9060">
      <w:pPr>
        <w:spacing w:line="480" w:lineRule="exact"/>
        <w:ind w:firstLine="420" w:firstLineChars="200"/>
        <w:jc w:val="left"/>
        <w:rPr>
          <w:rFonts w:ascii="宋体" w:hAnsi="宋体" w:cs="宋体"/>
          <w:color w:val="auto"/>
          <w:szCs w:val="21"/>
          <w:highlight w:val="none"/>
        </w:rPr>
      </w:pPr>
      <w:r>
        <w:rPr>
          <w:rFonts w:hint="eastAsia" w:ascii="宋体" w:hAnsi="宋体" w:cs="宋体"/>
          <w:color w:val="auto"/>
          <w:szCs w:val="21"/>
          <w:highlight w:val="none"/>
        </w:rPr>
        <w:t>2、甲、乙双方在具体工程建设行为中，必须严格遵守招投标法规定的原则、方式、程序，保证公平、公正、公开。</w:t>
      </w:r>
    </w:p>
    <w:p w14:paraId="0D96D303">
      <w:pPr>
        <w:spacing w:line="480" w:lineRule="exact"/>
        <w:ind w:firstLine="420" w:firstLineChars="200"/>
        <w:jc w:val="left"/>
        <w:rPr>
          <w:rFonts w:ascii="宋体" w:hAnsi="宋体" w:cs="宋体"/>
          <w:color w:val="auto"/>
          <w:szCs w:val="21"/>
          <w:highlight w:val="none"/>
        </w:rPr>
      </w:pPr>
      <w:r>
        <w:rPr>
          <w:rFonts w:hint="eastAsia" w:ascii="宋体" w:hAnsi="宋体" w:cs="宋体"/>
          <w:color w:val="auto"/>
          <w:szCs w:val="21"/>
          <w:highlight w:val="none"/>
        </w:rPr>
        <w:t>3、甲、乙双方不得相互串通，损害国家利益、社会公共利益及其他当事人的合法权益。</w:t>
      </w:r>
    </w:p>
    <w:p w14:paraId="2D8BD59C">
      <w:pPr>
        <w:spacing w:line="480" w:lineRule="exact"/>
        <w:ind w:firstLine="420" w:firstLineChars="200"/>
        <w:jc w:val="left"/>
        <w:rPr>
          <w:rFonts w:ascii="宋体" w:hAnsi="宋体" w:cs="宋体"/>
          <w:color w:val="auto"/>
          <w:szCs w:val="21"/>
          <w:highlight w:val="none"/>
        </w:rPr>
      </w:pPr>
      <w:r>
        <w:rPr>
          <w:rFonts w:hint="eastAsia" w:ascii="宋体" w:hAnsi="宋体" w:cs="宋体"/>
          <w:color w:val="auto"/>
          <w:szCs w:val="21"/>
          <w:highlight w:val="none"/>
        </w:rPr>
        <w:t>4、甲方工作人员及其配偶、子女不得以任何形式或名义索要、接受乙方的现金、有价证券、支付凭证和其他馈赠礼品；乙方不得以任何形式或名义向甲方工作人员及其配偶、子女、评标人员赠送现金、有价证券、支付凭证和礼品或采取其他不正当手段谋取利益。</w:t>
      </w:r>
    </w:p>
    <w:p w14:paraId="0D1090AB">
      <w:pPr>
        <w:spacing w:line="480" w:lineRule="exact"/>
        <w:ind w:firstLine="420" w:firstLineChars="200"/>
        <w:jc w:val="left"/>
        <w:rPr>
          <w:rFonts w:ascii="宋体" w:hAnsi="宋体" w:cs="宋体"/>
          <w:color w:val="auto"/>
          <w:szCs w:val="21"/>
          <w:highlight w:val="none"/>
        </w:rPr>
      </w:pPr>
      <w:r>
        <w:rPr>
          <w:rFonts w:hint="eastAsia" w:ascii="宋体" w:hAnsi="宋体" w:cs="宋体"/>
          <w:color w:val="auto"/>
          <w:szCs w:val="21"/>
          <w:highlight w:val="none"/>
        </w:rPr>
        <w:t>5、甲方工作人员及其配偶、子女不得以任何形式或者名义接受乙方的宴请、请钓、旅游、健身和其他娱乐活动；乙方不得以任何形式或名义邀请甲方工作人员及其配偶、子女请吃、请钓、旅游、健身和其他娱乐活动。</w:t>
      </w:r>
    </w:p>
    <w:p w14:paraId="628E4CA3">
      <w:pPr>
        <w:spacing w:line="480" w:lineRule="exact"/>
        <w:ind w:firstLine="420" w:firstLineChars="200"/>
        <w:jc w:val="left"/>
        <w:rPr>
          <w:rFonts w:ascii="宋体" w:hAnsi="宋体" w:cs="宋体"/>
          <w:color w:val="auto"/>
          <w:szCs w:val="21"/>
          <w:highlight w:val="none"/>
        </w:rPr>
      </w:pPr>
      <w:r>
        <w:rPr>
          <w:rFonts w:hint="eastAsia" w:ascii="宋体" w:hAnsi="宋体" w:cs="宋体"/>
          <w:color w:val="auto"/>
          <w:szCs w:val="21"/>
          <w:highlight w:val="none"/>
        </w:rPr>
        <w:t>6、甲方工作人员及其配偶、子女不得以打“业务牌”等形式变相接受乙方的钱物；乙方不得以打“业务牌”的形式向甲方工作人员及其配偶、子女变相送钱物。</w:t>
      </w:r>
    </w:p>
    <w:p w14:paraId="459FD74D">
      <w:pPr>
        <w:spacing w:line="480" w:lineRule="exact"/>
        <w:ind w:firstLine="420" w:firstLineChars="200"/>
        <w:jc w:val="left"/>
        <w:rPr>
          <w:rFonts w:ascii="宋体" w:hAnsi="宋体" w:cs="宋体"/>
          <w:color w:val="auto"/>
          <w:szCs w:val="21"/>
          <w:highlight w:val="none"/>
        </w:rPr>
      </w:pPr>
      <w:r>
        <w:rPr>
          <w:rFonts w:hint="eastAsia" w:ascii="宋体" w:hAnsi="宋体" w:cs="宋体"/>
          <w:color w:val="auto"/>
          <w:szCs w:val="21"/>
          <w:highlight w:val="none"/>
        </w:rPr>
        <w:t>7、甲方工作人员及其配偶、子女不得在乙方报销应由个人支付的费用或领取报酬；乙方不得为甲方工作人员及其配偶、子女报销应由个人支付的费用或发放报酬。</w:t>
      </w:r>
    </w:p>
    <w:p w14:paraId="75979C0C">
      <w:pPr>
        <w:spacing w:line="480" w:lineRule="exact"/>
        <w:ind w:firstLine="420" w:firstLineChars="200"/>
        <w:jc w:val="left"/>
        <w:rPr>
          <w:rFonts w:ascii="宋体" w:hAnsi="宋体" w:cs="宋体"/>
          <w:color w:val="auto"/>
          <w:szCs w:val="21"/>
          <w:highlight w:val="none"/>
        </w:rPr>
      </w:pPr>
      <w:r>
        <w:rPr>
          <w:rFonts w:hint="eastAsia" w:ascii="宋体" w:hAnsi="宋体" w:cs="宋体"/>
          <w:color w:val="auto"/>
          <w:szCs w:val="21"/>
          <w:highlight w:val="none"/>
        </w:rPr>
        <w:t>违约责任：</w:t>
      </w:r>
    </w:p>
    <w:p w14:paraId="64FFA1E4">
      <w:pPr>
        <w:spacing w:line="480" w:lineRule="exact"/>
        <w:ind w:firstLine="420" w:firstLineChars="200"/>
        <w:jc w:val="left"/>
        <w:rPr>
          <w:rFonts w:ascii="宋体" w:hAnsi="宋体" w:cs="宋体"/>
          <w:color w:val="auto"/>
          <w:szCs w:val="21"/>
          <w:highlight w:val="none"/>
        </w:rPr>
      </w:pPr>
      <w:r>
        <w:rPr>
          <w:rFonts w:hint="eastAsia" w:ascii="宋体" w:hAnsi="宋体" w:cs="宋体"/>
          <w:color w:val="auto"/>
          <w:szCs w:val="21"/>
          <w:highlight w:val="none"/>
        </w:rPr>
        <w:t>1、甲方发生违约行为，一经查实将视情节轻重对直接责任人进行严肃处理并追究主管人员的责任。</w:t>
      </w:r>
    </w:p>
    <w:p w14:paraId="6AB90C8E">
      <w:pPr>
        <w:spacing w:line="480" w:lineRule="exact"/>
        <w:ind w:firstLine="420" w:firstLineChars="200"/>
        <w:jc w:val="left"/>
        <w:rPr>
          <w:rFonts w:ascii="宋体" w:hAnsi="宋体" w:cs="宋体"/>
          <w:color w:val="auto"/>
          <w:szCs w:val="21"/>
          <w:highlight w:val="none"/>
        </w:rPr>
      </w:pPr>
      <w:r>
        <w:rPr>
          <w:rFonts w:hint="eastAsia" w:ascii="宋体" w:hAnsi="宋体" w:cs="宋体"/>
          <w:color w:val="auto"/>
          <w:szCs w:val="21"/>
          <w:highlight w:val="none"/>
        </w:rPr>
        <w:t>2、乙方发生违约行为，甲方有权解除合同，并将其列入“黑名单”在一定范围内公布，三年内不得参加辖区内的服务。</w:t>
      </w:r>
    </w:p>
    <w:p w14:paraId="19FDC250">
      <w:pPr>
        <w:spacing w:after="120"/>
        <w:ind w:left="1440" w:right="1440"/>
        <w:rPr>
          <w:rFonts w:ascii="Calibri" w:hAnsi="Calibri"/>
          <w:color w:val="auto"/>
          <w:szCs w:val="22"/>
          <w:highlight w:val="none"/>
        </w:rPr>
      </w:pPr>
    </w:p>
    <w:p w14:paraId="070BCE4D">
      <w:pPr>
        <w:spacing w:line="500" w:lineRule="exact"/>
        <w:ind w:firstLine="420"/>
        <w:rPr>
          <w:rFonts w:ascii="宋体" w:hAnsi="宋体" w:cs="宋体"/>
          <w:color w:val="auto"/>
          <w:szCs w:val="21"/>
          <w:highlight w:val="none"/>
        </w:rPr>
      </w:pPr>
      <w:r>
        <w:rPr>
          <w:rFonts w:hint="eastAsia" w:ascii="宋体" w:hAnsi="宋体" w:cs="宋体"/>
          <w:color w:val="auto"/>
          <w:szCs w:val="21"/>
          <w:highlight w:val="none"/>
        </w:rPr>
        <w:t>甲方：（盖章）                               乙方：（盖章）</w:t>
      </w:r>
    </w:p>
    <w:p w14:paraId="6166073D">
      <w:pPr>
        <w:spacing w:line="500" w:lineRule="exact"/>
        <w:ind w:firstLine="420"/>
        <w:rPr>
          <w:rFonts w:ascii="宋体" w:hAnsi="宋体" w:cs="宋体"/>
          <w:color w:val="auto"/>
          <w:szCs w:val="21"/>
          <w:highlight w:val="none"/>
        </w:rPr>
      </w:pPr>
      <w:r>
        <w:rPr>
          <w:rFonts w:hint="eastAsia" w:ascii="宋体" w:hAnsi="宋体" w:cs="宋体"/>
          <w:color w:val="auto"/>
          <w:szCs w:val="21"/>
          <w:highlight w:val="none"/>
        </w:rPr>
        <w:t>法定代表人  　　　　　　　　                 法定代表人</w:t>
      </w:r>
    </w:p>
    <w:p w14:paraId="5C94F0CC">
      <w:pPr>
        <w:spacing w:line="500" w:lineRule="exact"/>
        <w:ind w:firstLine="420"/>
        <w:rPr>
          <w:rFonts w:ascii="宋体" w:hAnsi="宋体" w:cs="宋体"/>
          <w:color w:val="auto"/>
          <w:szCs w:val="21"/>
          <w:highlight w:val="none"/>
        </w:rPr>
      </w:pPr>
      <w:r>
        <w:rPr>
          <w:rFonts w:hint="eastAsia" w:ascii="宋体" w:hAnsi="宋体" w:cs="宋体"/>
          <w:color w:val="auto"/>
          <w:szCs w:val="21"/>
          <w:highlight w:val="none"/>
        </w:rPr>
        <w:t>或授权委托人：　　　　　　　　　　           或授权委托人：</w:t>
      </w:r>
    </w:p>
    <w:p w14:paraId="15D10DD7">
      <w:pPr>
        <w:spacing w:line="500" w:lineRule="exact"/>
        <w:ind w:firstLine="420"/>
        <w:rPr>
          <w:rFonts w:ascii="宋体" w:hAnsi="宋体" w:cs="宋体"/>
          <w:color w:val="auto"/>
          <w:szCs w:val="21"/>
          <w:highlight w:val="none"/>
        </w:rPr>
      </w:pPr>
      <w:r>
        <w:rPr>
          <w:rFonts w:hint="eastAsia" w:ascii="宋体" w:hAnsi="宋体" w:cs="宋体"/>
          <w:color w:val="auto"/>
          <w:szCs w:val="21"/>
          <w:highlight w:val="none"/>
        </w:rPr>
        <w:t>签订日期：　　年　 月　 日                   签订日期： 　年　 月　 日</w:t>
      </w:r>
    </w:p>
    <w:p w14:paraId="53F5C1FD">
      <w:pPr>
        <w:jc w:val="center"/>
        <w:rPr>
          <w:rFonts w:ascii="宋体" w:hAnsi="宋体"/>
          <w:color w:val="auto"/>
          <w:sz w:val="36"/>
          <w:highlight w:val="none"/>
        </w:rPr>
      </w:pPr>
      <w:r>
        <w:rPr>
          <w:rFonts w:ascii="Calibri" w:hAnsi="宋体"/>
          <w:color w:val="auto"/>
          <w:szCs w:val="21"/>
          <w:highlight w:val="none"/>
        </w:rPr>
        <w:br w:type="page" w:clear="all"/>
      </w:r>
      <w:bookmarkStart w:id="79" w:name="MOFFICE_OUTDOC_NTDOC__TITLE"/>
      <w:r>
        <w:rPr>
          <w:rFonts w:ascii="宋体" w:hAnsi="宋体"/>
          <w:color w:val="auto"/>
          <w:sz w:val="36"/>
          <w:highlight w:val="none"/>
        </w:rPr>
        <w:t>政府采购合同履约验收书（参考格式）</w:t>
      </w:r>
    </w:p>
    <w:p w14:paraId="0ACD8766">
      <w:pPr>
        <w:spacing w:line="560" w:lineRule="exact"/>
        <w:ind w:firstLine="480"/>
        <w:jc w:val="left"/>
        <w:rPr>
          <w:rFonts w:ascii="宋体" w:hAnsi="宋体"/>
          <w:color w:val="auto"/>
          <w:sz w:val="24"/>
          <w:highlight w:val="none"/>
        </w:rPr>
      </w:pPr>
      <w:r>
        <w:rPr>
          <w:rFonts w:ascii="宋体" w:hAnsi="宋体"/>
          <w:color w:val="auto"/>
          <w:sz w:val="24"/>
          <w:highlight w:val="none"/>
        </w:rPr>
        <w:t>根据政府采购合同（编号：</w:t>
      </w:r>
      <w:r>
        <w:rPr>
          <w:rFonts w:ascii="宋体" w:hAnsi="宋体"/>
          <w:color w:val="auto"/>
          <w:sz w:val="24"/>
          <w:highlight w:val="none"/>
          <w:u w:val="single"/>
        </w:rPr>
        <w:t xml:space="preserve">          </w:t>
      </w:r>
      <w:r>
        <w:rPr>
          <w:rFonts w:ascii="宋体" w:hAnsi="宋体"/>
          <w:color w:val="auto"/>
          <w:sz w:val="24"/>
          <w:highlight w:val="none"/>
        </w:rPr>
        <w:t>）的约定，我单位组织对</w:t>
      </w:r>
      <w:r>
        <w:rPr>
          <w:rFonts w:ascii="宋体" w:hAnsi="宋体"/>
          <w:color w:val="auto"/>
          <w:sz w:val="24"/>
          <w:highlight w:val="none"/>
          <w:u w:val="single"/>
        </w:rPr>
        <w:t>（项目名称）</w:t>
      </w:r>
      <w:r>
        <w:rPr>
          <w:rFonts w:ascii="宋体" w:hAnsi="宋体"/>
          <w:color w:val="auto"/>
          <w:sz w:val="24"/>
          <w:highlight w:val="none"/>
        </w:rPr>
        <w:t>项目中标（成交）供应商</w:t>
      </w:r>
      <w:r>
        <w:rPr>
          <w:rFonts w:ascii="宋体" w:hAnsi="宋体"/>
          <w:color w:val="auto"/>
          <w:sz w:val="24"/>
          <w:highlight w:val="none"/>
          <w:u w:val="single"/>
        </w:rPr>
        <w:t>（公司名称）</w:t>
      </w:r>
      <w:r>
        <w:rPr>
          <w:rFonts w:ascii="宋体" w:hAnsi="宋体"/>
          <w:color w:val="auto"/>
          <w:sz w:val="24"/>
          <w:highlight w:val="none"/>
        </w:rPr>
        <w:t>提供的货物（工程、服务）进行了履约验收，验收情况如下：</w:t>
      </w:r>
    </w:p>
    <w:bookmarkEnd w:id="79"/>
    <w:tbl>
      <w:tblPr>
        <w:tblStyle w:val="32"/>
        <w:tblW w:w="9750" w:type="dxa"/>
        <w:jc w:val="center"/>
        <w:tblLayout w:type="fixed"/>
        <w:tblCellMar>
          <w:top w:w="0" w:type="dxa"/>
          <w:left w:w="108" w:type="dxa"/>
          <w:bottom w:w="0" w:type="dxa"/>
          <w:right w:w="108" w:type="dxa"/>
        </w:tblCellMar>
      </w:tblPr>
      <w:tblGrid>
        <w:gridCol w:w="1712"/>
        <w:gridCol w:w="2719"/>
        <w:gridCol w:w="1750"/>
        <w:gridCol w:w="3569"/>
      </w:tblGrid>
      <w:tr w14:paraId="6A150ABF">
        <w:tblPrEx>
          <w:tblCellMar>
            <w:top w:w="0" w:type="dxa"/>
            <w:left w:w="108" w:type="dxa"/>
            <w:bottom w:w="0" w:type="dxa"/>
            <w:right w:w="108" w:type="dxa"/>
          </w:tblCellMar>
        </w:tblPrEx>
        <w:trPr>
          <w:trHeight w:val="855" w:hRule="atLeast"/>
          <w:jc w:val="center"/>
        </w:trPr>
        <w:tc>
          <w:tcPr>
            <w:tcW w:w="1712" w:type="dxa"/>
            <w:tcBorders>
              <w:top w:val="single" w:color="000000" w:sz="8" w:space="0"/>
              <w:left w:val="single" w:color="000000" w:sz="8" w:space="0"/>
              <w:bottom w:val="single" w:color="000000" w:sz="4" w:space="0"/>
              <w:right w:val="single" w:color="000000" w:sz="4" w:space="0"/>
            </w:tcBorders>
            <w:vAlign w:val="center"/>
          </w:tcPr>
          <w:p w14:paraId="57CED691">
            <w:pPr>
              <w:spacing w:line="360" w:lineRule="exact"/>
              <w:jc w:val="center"/>
              <w:rPr>
                <w:rFonts w:ascii="宋体" w:hAnsi="宋体"/>
                <w:color w:val="auto"/>
                <w:sz w:val="24"/>
                <w:highlight w:val="none"/>
              </w:rPr>
            </w:pPr>
            <w:r>
              <w:rPr>
                <w:rFonts w:ascii="宋体" w:hAnsi="宋体"/>
                <w:color w:val="auto"/>
                <w:sz w:val="24"/>
                <w:highlight w:val="none"/>
              </w:rPr>
              <w:t>项目名称</w:t>
            </w:r>
          </w:p>
        </w:tc>
        <w:tc>
          <w:tcPr>
            <w:tcW w:w="2719" w:type="dxa"/>
            <w:tcBorders>
              <w:top w:val="single" w:color="000000" w:sz="8" w:space="0"/>
              <w:left w:val="nil"/>
              <w:bottom w:val="single" w:color="000000" w:sz="4" w:space="0"/>
              <w:right w:val="single" w:color="000000" w:sz="4" w:space="0"/>
            </w:tcBorders>
            <w:vAlign w:val="center"/>
          </w:tcPr>
          <w:p w14:paraId="777E0692">
            <w:pPr>
              <w:spacing w:line="360" w:lineRule="exact"/>
              <w:jc w:val="center"/>
              <w:rPr>
                <w:rFonts w:ascii="宋体" w:hAnsi="宋体"/>
                <w:color w:val="auto"/>
                <w:sz w:val="24"/>
                <w:highlight w:val="none"/>
              </w:rPr>
            </w:pPr>
          </w:p>
        </w:tc>
        <w:tc>
          <w:tcPr>
            <w:tcW w:w="1750" w:type="dxa"/>
            <w:tcBorders>
              <w:top w:val="single" w:color="000000" w:sz="8" w:space="0"/>
              <w:left w:val="nil"/>
              <w:bottom w:val="single" w:color="000000" w:sz="4" w:space="0"/>
              <w:right w:val="single" w:color="000000" w:sz="4" w:space="0"/>
            </w:tcBorders>
            <w:vAlign w:val="center"/>
          </w:tcPr>
          <w:p w14:paraId="2633B4D5">
            <w:pPr>
              <w:spacing w:line="360" w:lineRule="exact"/>
              <w:jc w:val="center"/>
              <w:rPr>
                <w:rFonts w:ascii="宋体" w:hAnsi="宋体"/>
                <w:color w:val="auto"/>
                <w:sz w:val="24"/>
                <w:highlight w:val="none"/>
              </w:rPr>
            </w:pPr>
            <w:r>
              <w:rPr>
                <w:rFonts w:ascii="宋体" w:hAnsi="宋体"/>
                <w:color w:val="auto"/>
                <w:sz w:val="24"/>
                <w:highlight w:val="none"/>
              </w:rPr>
              <w:t>项目地点</w:t>
            </w:r>
          </w:p>
        </w:tc>
        <w:tc>
          <w:tcPr>
            <w:tcW w:w="3569" w:type="dxa"/>
            <w:tcBorders>
              <w:top w:val="single" w:color="000000" w:sz="8" w:space="0"/>
              <w:left w:val="nil"/>
              <w:bottom w:val="single" w:color="000000" w:sz="4" w:space="0"/>
              <w:right w:val="single" w:color="000000" w:sz="8" w:space="0"/>
            </w:tcBorders>
            <w:vAlign w:val="center"/>
          </w:tcPr>
          <w:p w14:paraId="54C602A2">
            <w:pPr>
              <w:spacing w:line="360" w:lineRule="exact"/>
              <w:jc w:val="center"/>
              <w:rPr>
                <w:rFonts w:ascii="宋体" w:hAnsi="宋体"/>
                <w:color w:val="auto"/>
                <w:sz w:val="24"/>
                <w:highlight w:val="none"/>
              </w:rPr>
            </w:pPr>
          </w:p>
        </w:tc>
      </w:tr>
      <w:tr w14:paraId="1A1EC02E">
        <w:tblPrEx>
          <w:tblCellMar>
            <w:top w:w="0" w:type="dxa"/>
            <w:left w:w="108" w:type="dxa"/>
            <w:bottom w:w="0" w:type="dxa"/>
            <w:right w:w="108" w:type="dxa"/>
          </w:tblCellMar>
        </w:tblPrEx>
        <w:trPr>
          <w:trHeight w:val="855" w:hRule="atLeast"/>
          <w:jc w:val="center"/>
        </w:trPr>
        <w:tc>
          <w:tcPr>
            <w:tcW w:w="1712" w:type="dxa"/>
            <w:tcBorders>
              <w:top w:val="nil"/>
              <w:left w:val="single" w:color="000000" w:sz="8" w:space="0"/>
              <w:bottom w:val="single" w:color="000000" w:sz="4" w:space="0"/>
              <w:right w:val="single" w:color="000000" w:sz="4" w:space="0"/>
            </w:tcBorders>
            <w:vAlign w:val="center"/>
          </w:tcPr>
          <w:p w14:paraId="1EAC287F">
            <w:pPr>
              <w:spacing w:line="360" w:lineRule="exact"/>
              <w:jc w:val="center"/>
              <w:rPr>
                <w:rFonts w:ascii="宋体" w:hAnsi="宋体"/>
                <w:color w:val="auto"/>
                <w:sz w:val="24"/>
                <w:highlight w:val="none"/>
              </w:rPr>
            </w:pPr>
            <w:r>
              <w:rPr>
                <w:rFonts w:ascii="宋体" w:hAnsi="宋体"/>
                <w:color w:val="auto"/>
                <w:sz w:val="24"/>
                <w:highlight w:val="none"/>
              </w:rPr>
              <w:t>预算金额</w:t>
            </w:r>
          </w:p>
        </w:tc>
        <w:tc>
          <w:tcPr>
            <w:tcW w:w="2719" w:type="dxa"/>
            <w:tcBorders>
              <w:top w:val="single" w:color="000000" w:sz="4" w:space="0"/>
              <w:left w:val="nil"/>
              <w:bottom w:val="single" w:color="000000" w:sz="4" w:space="0"/>
              <w:right w:val="single" w:color="000000" w:sz="4" w:space="0"/>
            </w:tcBorders>
            <w:vAlign w:val="center"/>
          </w:tcPr>
          <w:p w14:paraId="251BC1BB">
            <w:pPr>
              <w:spacing w:line="360" w:lineRule="exact"/>
              <w:jc w:val="center"/>
              <w:rPr>
                <w:rFonts w:ascii="宋体" w:hAnsi="宋体"/>
                <w:color w:val="auto"/>
                <w:sz w:val="24"/>
                <w:highlight w:val="none"/>
              </w:rPr>
            </w:pPr>
          </w:p>
        </w:tc>
        <w:tc>
          <w:tcPr>
            <w:tcW w:w="1750" w:type="dxa"/>
            <w:tcBorders>
              <w:top w:val="nil"/>
              <w:left w:val="nil"/>
              <w:bottom w:val="nil"/>
              <w:right w:val="nil"/>
            </w:tcBorders>
            <w:vAlign w:val="center"/>
          </w:tcPr>
          <w:p w14:paraId="054FDA6A">
            <w:pPr>
              <w:spacing w:line="360" w:lineRule="exact"/>
              <w:jc w:val="center"/>
              <w:rPr>
                <w:rFonts w:ascii="宋体" w:hAnsi="宋体"/>
                <w:color w:val="auto"/>
                <w:sz w:val="24"/>
                <w:highlight w:val="none"/>
              </w:rPr>
            </w:pPr>
            <w:r>
              <w:rPr>
                <w:rFonts w:ascii="宋体" w:hAnsi="宋体"/>
                <w:color w:val="auto"/>
                <w:sz w:val="24"/>
                <w:highlight w:val="none"/>
              </w:rPr>
              <w:t>承接单位</w:t>
            </w:r>
          </w:p>
        </w:tc>
        <w:tc>
          <w:tcPr>
            <w:tcW w:w="3569" w:type="dxa"/>
            <w:tcBorders>
              <w:top w:val="nil"/>
              <w:left w:val="single" w:color="000000" w:sz="4" w:space="0"/>
              <w:bottom w:val="single" w:color="000000" w:sz="4" w:space="0"/>
              <w:right w:val="single" w:color="000000" w:sz="8" w:space="0"/>
            </w:tcBorders>
            <w:vAlign w:val="center"/>
          </w:tcPr>
          <w:p w14:paraId="096D8A7E">
            <w:pPr>
              <w:spacing w:line="360" w:lineRule="exact"/>
              <w:jc w:val="left"/>
              <w:rPr>
                <w:rFonts w:ascii="宋体" w:hAnsi="宋体"/>
                <w:color w:val="auto"/>
                <w:sz w:val="24"/>
                <w:highlight w:val="none"/>
              </w:rPr>
            </w:pPr>
          </w:p>
        </w:tc>
      </w:tr>
      <w:tr w14:paraId="158BCC18">
        <w:tblPrEx>
          <w:tblCellMar>
            <w:top w:w="0" w:type="dxa"/>
            <w:left w:w="108" w:type="dxa"/>
            <w:bottom w:w="0" w:type="dxa"/>
            <w:right w:w="108" w:type="dxa"/>
          </w:tblCellMar>
        </w:tblPrEx>
        <w:trPr>
          <w:trHeight w:val="855" w:hRule="atLeast"/>
          <w:jc w:val="center"/>
        </w:trPr>
        <w:tc>
          <w:tcPr>
            <w:tcW w:w="1712" w:type="dxa"/>
            <w:tcBorders>
              <w:top w:val="nil"/>
              <w:left w:val="single" w:color="000000" w:sz="8" w:space="0"/>
              <w:bottom w:val="single" w:color="000000" w:sz="4" w:space="0"/>
              <w:right w:val="single" w:color="000000" w:sz="4" w:space="0"/>
            </w:tcBorders>
            <w:vAlign w:val="center"/>
          </w:tcPr>
          <w:p w14:paraId="40DBBE63">
            <w:pPr>
              <w:spacing w:line="360" w:lineRule="exact"/>
              <w:jc w:val="center"/>
              <w:rPr>
                <w:rFonts w:ascii="宋体" w:hAnsi="宋体"/>
                <w:color w:val="auto"/>
                <w:sz w:val="24"/>
                <w:highlight w:val="none"/>
              </w:rPr>
            </w:pPr>
            <w:r>
              <w:rPr>
                <w:rFonts w:ascii="宋体" w:hAnsi="宋体"/>
                <w:color w:val="auto"/>
                <w:sz w:val="24"/>
                <w:highlight w:val="none"/>
              </w:rPr>
              <w:t>合同时间</w:t>
            </w:r>
          </w:p>
        </w:tc>
        <w:tc>
          <w:tcPr>
            <w:tcW w:w="2719" w:type="dxa"/>
            <w:tcBorders>
              <w:top w:val="single" w:color="000000" w:sz="4" w:space="0"/>
              <w:left w:val="nil"/>
              <w:bottom w:val="single" w:color="000000" w:sz="4" w:space="0"/>
              <w:right w:val="single" w:color="000000" w:sz="4" w:space="0"/>
            </w:tcBorders>
            <w:vAlign w:val="center"/>
          </w:tcPr>
          <w:p w14:paraId="2D8E2EDA">
            <w:pPr>
              <w:spacing w:line="360" w:lineRule="exact"/>
              <w:jc w:val="center"/>
              <w:rPr>
                <w:rFonts w:ascii="宋体" w:hAnsi="宋体"/>
                <w:color w:val="auto"/>
                <w:sz w:val="24"/>
                <w:highlight w:val="none"/>
              </w:rPr>
            </w:pPr>
          </w:p>
        </w:tc>
        <w:tc>
          <w:tcPr>
            <w:tcW w:w="1750" w:type="dxa"/>
            <w:tcBorders>
              <w:top w:val="single" w:color="000000" w:sz="4" w:space="0"/>
              <w:left w:val="nil"/>
              <w:bottom w:val="single" w:color="000000" w:sz="4" w:space="0"/>
              <w:right w:val="single" w:color="000000" w:sz="4" w:space="0"/>
            </w:tcBorders>
            <w:vAlign w:val="center"/>
          </w:tcPr>
          <w:p w14:paraId="5F390214">
            <w:pPr>
              <w:spacing w:line="360" w:lineRule="exact"/>
              <w:jc w:val="center"/>
              <w:rPr>
                <w:rFonts w:ascii="宋体" w:hAnsi="宋体"/>
                <w:color w:val="auto"/>
                <w:sz w:val="24"/>
                <w:highlight w:val="none"/>
              </w:rPr>
            </w:pPr>
            <w:r>
              <w:rPr>
                <w:rFonts w:ascii="宋体" w:hAnsi="宋体"/>
                <w:color w:val="auto"/>
                <w:sz w:val="24"/>
                <w:highlight w:val="none"/>
              </w:rPr>
              <w:t>项目开始时间</w:t>
            </w:r>
          </w:p>
        </w:tc>
        <w:tc>
          <w:tcPr>
            <w:tcW w:w="3569" w:type="dxa"/>
            <w:tcBorders>
              <w:top w:val="nil"/>
              <w:left w:val="nil"/>
              <w:bottom w:val="single" w:color="000000" w:sz="4" w:space="0"/>
              <w:right w:val="single" w:color="000000" w:sz="8" w:space="0"/>
            </w:tcBorders>
            <w:vAlign w:val="center"/>
          </w:tcPr>
          <w:p w14:paraId="38E53C98">
            <w:pPr>
              <w:spacing w:line="360" w:lineRule="exact"/>
              <w:jc w:val="center"/>
              <w:rPr>
                <w:rFonts w:ascii="宋体" w:hAnsi="宋体"/>
                <w:color w:val="auto"/>
                <w:sz w:val="24"/>
                <w:highlight w:val="none"/>
              </w:rPr>
            </w:pPr>
          </w:p>
        </w:tc>
      </w:tr>
      <w:tr w14:paraId="2E31B54D">
        <w:tblPrEx>
          <w:tblCellMar>
            <w:top w:w="0" w:type="dxa"/>
            <w:left w:w="108" w:type="dxa"/>
            <w:bottom w:w="0" w:type="dxa"/>
            <w:right w:w="108" w:type="dxa"/>
          </w:tblCellMar>
        </w:tblPrEx>
        <w:trPr>
          <w:trHeight w:val="855" w:hRule="atLeast"/>
          <w:jc w:val="center"/>
        </w:trPr>
        <w:tc>
          <w:tcPr>
            <w:tcW w:w="1712" w:type="dxa"/>
            <w:tcBorders>
              <w:top w:val="nil"/>
              <w:left w:val="single" w:color="000000" w:sz="8" w:space="0"/>
              <w:bottom w:val="single" w:color="000000" w:sz="4" w:space="0"/>
              <w:right w:val="single" w:color="000000" w:sz="4" w:space="0"/>
            </w:tcBorders>
            <w:vAlign w:val="center"/>
          </w:tcPr>
          <w:p w14:paraId="070C3228">
            <w:pPr>
              <w:spacing w:line="360" w:lineRule="exact"/>
              <w:jc w:val="center"/>
              <w:rPr>
                <w:rFonts w:ascii="宋体" w:hAnsi="宋体"/>
                <w:color w:val="auto"/>
                <w:sz w:val="24"/>
                <w:highlight w:val="none"/>
              </w:rPr>
            </w:pPr>
            <w:r>
              <w:rPr>
                <w:rFonts w:ascii="宋体" w:hAnsi="宋体"/>
                <w:color w:val="auto"/>
                <w:sz w:val="24"/>
                <w:highlight w:val="none"/>
              </w:rPr>
              <w:t>项目结束时间</w:t>
            </w:r>
          </w:p>
        </w:tc>
        <w:tc>
          <w:tcPr>
            <w:tcW w:w="2719" w:type="dxa"/>
            <w:tcBorders>
              <w:top w:val="single" w:color="000000" w:sz="4" w:space="0"/>
              <w:left w:val="nil"/>
              <w:bottom w:val="single" w:color="000000" w:sz="4" w:space="0"/>
              <w:right w:val="single" w:color="000000" w:sz="4" w:space="0"/>
            </w:tcBorders>
            <w:vAlign w:val="center"/>
          </w:tcPr>
          <w:p w14:paraId="1B7E0CAE">
            <w:pPr>
              <w:spacing w:line="360" w:lineRule="exact"/>
              <w:jc w:val="center"/>
              <w:rPr>
                <w:rFonts w:ascii="宋体" w:hAnsi="宋体"/>
                <w:color w:val="auto"/>
                <w:sz w:val="24"/>
                <w:highlight w:val="none"/>
              </w:rPr>
            </w:pPr>
          </w:p>
        </w:tc>
        <w:tc>
          <w:tcPr>
            <w:tcW w:w="1750" w:type="dxa"/>
            <w:tcBorders>
              <w:top w:val="nil"/>
              <w:left w:val="nil"/>
              <w:bottom w:val="single" w:color="000000" w:sz="4" w:space="0"/>
              <w:right w:val="single" w:color="000000" w:sz="4" w:space="0"/>
            </w:tcBorders>
            <w:vAlign w:val="center"/>
          </w:tcPr>
          <w:p w14:paraId="1B4CDBF2">
            <w:pPr>
              <w:spacing w:line="360" w:lineRule="exact"/>
              <w:jc w:val="center"/>
              <w:rPr>
                <w:rFonts w:ascii="宋体" w:hAnsi="宋体"/>
                <w:color w:val="auto"/>
                <w:sz w:val="24"/>
                <w:highlight w:val="none"/>
              </w:rPr>
            </w:pPr>
            <w:r>
              <w:rPr>
                <w:rFonts w:ascii="宋体" w:hAnsi="宋体"/>
                <w:color w:val="auto"/>
                <w:sz w:val="24"/>
                <w:highlight w:val="none"/>
              </w:rPr>
              <w:t>项目联系人</w:t>
            </w:r>
          </w:p>
        </w:tc>
        <w:tc>
          <w:tcPr>
            <w:tcW w:w="3569" w:type="dxa"/>
            <w:tcBorders>
              <w:top w:val="nil"/>
              <w:left w:val="nil"/>
              <w:bottom w:val="single" w:color="000000" w:sz="4" w:space="0"/>
              <w:right w:val="single" w:color="000000" w:sz="8" w:space="0"/>
            </w:tcBorders>
            <w:vAlign w:val="center"/>
          </w:tcPr>
          <w:p w14:paraId="46628382">
            <w:pPr>
              <w:spacing w:line="360" w:lineRule="exact"/>
              <w:jc w:val="center"/>
              <w:rPr>
                <w:rFonts w:ascii="宋体" w:hAnsi="宋体"/>
                <w:color w:val="auto"/>
                <w:sz w:val="24"/>
                <w:highlight w:val="none"/>
              </w:rPr>
            </w:pPr>
          </w:p>
        </w:tc>
      </w:tr>
      <w:tr w14:paraId="43B4F22E">
        <w:tblPrEx>
          <w:tblCellMar>
            <w:top w:w="0" w:type="dxa"/>
            <w:left w:w="108" w:type="dxa"/>
            <w:bottom w:w="0" w:type="dxa"/>
            <w:right w:w="108" w:type="dxa"/>
          </w:tblCellMar>
        </w:tblPrEx>
        <w:trPr>
          <w:trHeight w:val="1861" w:hRule="atLeast"/>
          <w:jc w:val="center"/>
        </w:trPr>
        <w:tc>
          <w:tcPr>
            <w:tcW w:w="9750" w:type="dxa"/>
            <w:gridSpan w:val="4"/>
            <w:tcBorders>
              <w:top w:val="single" w:color="000000" w:sz="4" w:space="0"/>
              <w:left w:val="single" w:color="000000" w:sz="8" w:space="0"/>
              <w:bottom w:val="single" w:color="000000" w:sz="4" w:space="0"/>
              <w:right w:val="single" w:color="000000" w:sz="8" w:space="0"/>
            </w:tcBorders>
          </w:tcPr>
          <w:p w14:paraId="3B514CA8">
            <w:pPr>
              <w:jc w:val="center"/>
              <w:rPr>
                <w:rFonts w:ascii="宋体" w:hAnsi="宋体"/>
                <w:b/>
                <w:bCs/>
                <w:color w:val="auto"/>
                <w:sz w:val="24"/>
                <w:highlight w:val="none"/>
              </w:rPr>
            </w:pPr>
            <w:r>
              <w:rPr>
                <w:rFonts w:ascii="宋体" w:hAnsi="宋体"/>
                <w:b/>
                <w:bCs/>
                <w:color w:val="auto"/>
                <w:sz w:val="24"/>
                <w:highlight w:val="none"/>
              </w:rPr>
              <w:t>验收情况和验收意见</w:t>
            </w:r>
          </w:p>
          <w:p w14:paraId="22EBD240">
            <w:pPr>
              <w:rPr>
                <w:rFonts w:ascii="宋体" w:hAnsi="宋体"/>
                <w:color w:val="auto"/>
                <w:sz w:val="24"/>
                <w:highlight w:val="none"/>
              </w:rPr>
            </w:pPr>
            <w:r>
              <w:rPr>
                <w:rFonts w:ascii="宋体" w:hAnsi="宋体"/>
                <w:color w:val="auto"/>
                <w:sz w:val="24"/>
                <w:highlight w:val="none"/>
              </w:rPr>
              <w:t>（可另附）</w:t>
            </w:r>
          </w:p>
          <w:p w14:paraId="11CEC1B1">
            <w:pPr>
              <w:ind w:firstLine="480"/>
              <w:rPr>
                <w:rFonts w:ascii="宋体" w:hAnsi="宋体"/>
                <w:color w:val="auto"/>
                <w:sz w:val="24"/>
                <w:highlight w:val="none"/>
              </w:rPr>
            </w:pPr>
          </w:p>
        </w:tc>
      </w:tr>
      <w:tr w14:paraId="615262AD">
        <w:tblPrEx>
          <w:tblCellMar>
            <w:top w:w="0" w:type="dxa"/>
            <w:left w:w="108" w:type="dxa"/>
            <w:bottom w:w="0" w:type="dxa"/>
            <w:right w:w="108" w:type="dxa"/>
          </w:tblCellMar>
        </w:tblPrEx>
        <w:trPr>
          <w:trHeight w:val="567" w:hRule="atLeast"/>
          <w:jc w:val="center"/>
        </w:trPr>
        <w:tc>
          <w:tcPr>
            <w:tcW w:w="9750" w:type="dxa"/>
            <w:gridSpan w:val="4"/>
            <w:tcBorders>
              <w:top w:val="single" w:color="000000" w:sz="4" w:space="0"/>
              <w:left w:val="single" w:color="000000" w:sz="8" w:space="0"/>
              <w:bottom w:val="single" w:color="000000" w:sz="4" w:space="0"/>
              <w:right w:val="single" w:color="000000" w:sz="8" w:space="0"/>
            </w:tcBorders>
          </w:tcPr>
          <w:p w14:paraId="0586BE6F">
            <w:pPr>
              <w:jc w:val="left"/>
              <w:rPr>
                <w:rFonts w:ascii="宋体" w:hAnsi="宋体"/>
                <w:color w:val="auto"/>
                <w:sz w:val="24"/>
                <w:highlight w:val="none"/>
              </w:rPr>
            </w:pPr>
            <w:r>
              <w:rPr>
                <w:rFonts w:ascii="宋体" w:hAnsi="宋体"/>
                <w:color w:val="auto"/>
                <w:sz w:val="24"/>
                <w:highlight w:val="none"/>
              </w:rPr>
              <w:t>验收小组（签</w:t>
            </w:r>
            <w:r>
              <w:rPr>
                <w:rFonts w:hint="eastAsia" w:ascii="宋体" w:hAnsi="宋体"/>
                <w:color w:val="auto"/>
                <w:sz w:val="24"/>
                <w:highlight w:val="none"/>
              </w:rPr>
              <w:t>名</w:t>
            </w:r>
            <w:r>
              <w:rPr>
                <w:rFonts w:ascii="宋体" w:hAnsi="宋体"/>
                <w:color w:val="auto"/>
                <w:sz w:val="24"/>
                <w:highlight w:val="none"/>
              </w:rPr>
              <w:t>）：</w:t>
            </w:r>
          </w:p>
          <w:p w14:paraId="55D98203">
            <w:pPr>
              <w:jc w:val="left"/>
              <w:rPr>
                <w:rFonts w:ascii="宋体" w:hAnsi="宋体"/>
                <w:color w:val="auto"/>
                <w:sz w:val="24"/>
                <w:highlight w:val="none"/>
              </w:rPr>
            </w:pPr>
          </w:p>
          <w:p w14:paraId="3A735044">
            <w:pPr>
              <w:jc w:val="left"/>
              <w:rPr>
                <w:rFonts w:ascii="宋体" w:hAnsi="宋体"/>
                <w:color w:val="auto"/>
                <w:sz w:val="24"/>
                <w:highlight w:val="none"/>
              </w:rPr>
            </w:pPr>
            <w:r>
              <w:rPr>
                <w:rFonts w:ascii="宋体" w:hAnsi="宋体"/>
                <w:color w:val="auto"/>
                <w:sz w:val="24"/>
                <w:highlight w:val="none"/>
              </w:rPr>
              <w:t>　　　　　　　                              年    月    日</w:t>
            </w:r>
          </w:p>
        </w:tc>
      </w:tr>
      <w:tr w14:paraId="02DA1DEA">
        <w:tblPrEx>
          <w:tblCellMar>
            <w:top w:w="0" w:type="dxa"/>
            <w:left w:w="108" w:type="dxa"/>
            <w:bottom w:w="0" w:type="dxa"/>
            <w:right w:w="108" w:type="dxa"/>
          </w:tblCellMar>
        </w:tblPrEx>
        <w:trPr>
          <w:trHeight w:val="567" w:hRule="atLeast"/>
          <w:jc w:val="center"/>
        </w:trPr>
        <w:tc>
          <w:tcPr>
            <w:tcW w:w="9750" w:type="dxa"/>
            <w:gridSpan w:val="4"/>
            <w:tcBorders>
              <w:top w:val="single" w:color="000000" w:sz="4" w:space="0"/>
              <w:left w:val="single" w:color="000000" w:sz="8" w:space="0"/>
              <w:bottom w:val="single" w:color="000000" w:sz="4" w:space="0"/>
              <w:right w:val="single" w:color="000000" w:sz="8" w:space="0"/>
            </w:tcBorders>
          </w:tcPr>
          <w:p w14:paraId="570DDBF6">
            <w:pPr>
              <w:jc w:val="left"/>
              <w:rPr>
                <w:rFonts w:ascii="宋体" w:hAnsi="宋体"/>
                <w:color w:val="auto"/>
                <w:sz w:val="24"/>
                <w:highlight w:val="none"/>
              </w:rPr>
            </w:pPr>
            <w:r>
              <w:rPr>
                <w:rFonts w:ascii="宋体" w:hAnsi="宋体"/>
                <w:color w:val="auto"/>
                <w:sz w:val="24"/>
                <w:highlight w:val="none"/>
              </w:rPr>
              <w:t>供应商确认意见（签章）：</w:t>
            </w:r>
          </w:p>
          <w:p w14:paraId="6F530E59">
            <w:pPr>
              <w:jc w:val="left"/>
              <w:rPr>
                <w:rFonts w:ascii="宋体" w:hAnsi="宋体"/>
                <w:color w:val="auto"/>
                <w:sz w:val="24"/>
                <w:highlight w:val="none"/>
              </w:rPr>
            </w:pPr>
          </w:p>
          <w:p w14:paraId="1A2E7BCA">
            <w:pPr>
              <w:jc w:val="left"/>
              <w:rPr>
                <w:rFonts w:ascii="宋体" w:hAnsi="宋体"/>
                <w:color w:val="auto"/>
                <w:sz w:val="24"/>
                <w:highlight w:val="none"/>
              </w:rPr>
            </w:pPr>
            <w:r>
              <w:rPr>
                <w:rFonts w:ascii="宋体" w:hAnsi="宋体"/>
                <w:color w:val="auto"/>
                <w:sz w:val="24"/>
                <w:highlight w:val="none"/>
              </w:rPr>
              <w:t>　　　　　　　                              年    月    日</w:t>
            </w:r>
          </w:p>
        </w:tc>
      </w:tr>
      <w:tr w14:paraId="0390264E">
        <w:tblPrEx>
          <w:tblCellMar>
            <w:top w:w="0" w:type="dxa"/>
            <w:left w:w="108" w:type="dxa"/>
            <w:bottom w:w="0" w:type="dxa"/>
            <w:right w:w="108" w:type="dxa"/>
          </w:tblCellMar>
        </w:tblPrEx>
        <w:trPr>
          <w:trHeight w:val="567" w:hRule="atLeast"/>
          <w:jc w:val="center"/>
        </w:trPr>
        <w:tc>
          <w:tcPr>
            <w:tcW w:w="9750" w:type="dxa"/>
            <w:gridSpan w:val="4"/>
            <w:tcBorders>
              <w:top w:val="single" w:color="000000" w:sz="4" w:space="0"/>
              <w:left w:val="single" w:color="000000" w:sz="8" w:space="0"/>
              <w:bottom w:val="single" w:color="000000" w:sz="4" w:space="0"/>
              <w:right w:val="single" w:color="000000" w:sz="8" w:space="0"/>
            </w:tcBorders>
          </w:tcPr>
          <w:p w14:paraId="641B7921">
            <w:pPr>
              <w:jc w:val="left"/>
              <w:rPr>
                <w:rFonts w:ascii="宋体" w:hAnsi="宋体"/>
                <w:color w:val="auto"/>
                <w:sz w:val="24"/>
                <w:highlight w:val="none"/>
              </w:rPr>
            </w:pPr>
            <w:r>
              <w:rPr>
                <w:rFonts w:ascii="宋体" w:hAnsi="宋体"/>
                <w:color w:val="auto"/>
                <w:sz w:val="24"/>
                <w:highlight w:val="none"/>
              </w:rPr>
              <w:t>采购人确认意见（签章）：</w:t>
            </w:r>
          </w:p>
          <w:p w14:paraId="5D00FA0C">
            <w:pPr>
              <w:jc w:val="left"/>
              <w:rPr>
                <w:rFonts w:ascii="宋体" w:hAnsi="宋体"/>
                <w:color w:val="auto"/>
                <w:sz w:val="24"/>
                <w:highlight w:val="none"/>
              </w:rPr>
            </w:pPr>
          </w:p>
          <w:p w14:paraId="5A31EBB1">
            <w:pPr>
              <w:jc w:val="left"/>
              <w:rPr>
                <w:rFonts w:ascii="宋体" w:hAnsi="宋体"/>
                <w:color w:val="auto"/>
                <w:sz w:val="24"/>
                <w:highlight w:val="none"/>
              </w:rPr>
            </w:pPr>
            <w:r>
              <w:rPr>
                <w:rFonts w:ascii="宋体" w:hAnsi="宋体"/>
                <w:color w:val="auto"/>
                <w:sz w:val="24"/>
                <w:highlight w:val="none"/>
              </w:rPr>
              <w:t>　　　　　                              年    月    日</w:t>
            </w:r>
          </w:p>
        </w:tc>
      </w:tr>
    </w:tbl>
    <w:p w14:paraId="0D35A336">
      <w:pPr>
        <w:pStyle w:val="222"/>
        <w:spacing w:before="120" w:after="120" w:line="520" w:lineRule="exact"/>
        <w:ind w:firstLine="420"/>
        <w:rPr>
          <w:rFonts w:ascii="Calibri" w:hAnsi="宋体"/>
          <w:color w:val="auto"/>
          <w:sz w:val="21"/>
          <w:szCs w:val="21"/>
          <w:highlight w:val="none"/>
        </w:rPr>
      </w:pPr>
    </w:p>
    <w:p w14:paraId="37D02A42">
      <w:pPr>
        <w:pStyle w:val="271"/>
        <w:rPr>
          <w:color w:val="auto"/>
          <w:highlight w:val="none"/>
        </w:rPr>
      </w:pPr>
      <w:bookmarkStart w:id="80" w:name="_Toc397928626"/>
      <w:bookmarkStart w:id="81" w:name="_Toc498782306"/>
      <w:bookmarkStart w:id="82" w:name="_Toc9724"/>
    </w:p>
    <w:p w14:paraId="1E636FD7">
      <w:pPr>
        <w:pStyle w:val="186"/>
        <w:spacing w:before="0" w:after="0" w:line="360" w:lineRule="auto"/>
        <w:rPr>
          <w:color w:val="auto"/>
          <w:highlight w:val="none"/>
        </w:rPr>
      </w:pPr>
      <w:r>
        <w:rPr>
          <w:color w:val="auto"/>
          <w:highlight w:val="none"/>
        </w:rPr>
        <w:br w:type="page" w:clear="all"/>
      </w:r>
      <w:r>
        <w:rPr>
          <w:rFonts w:hint="eastAsia"/>
          <w:color w:val="auto"/>
          <w:highlight w:val="none"/>
        </w:rPr>
        <w:t>第五章 采购需求</w:t>
      </w:r>
      <w:bookmarkEnd w:id="80"/>
      <w:bookmarkEnd w:id="81"/>
      <w:bookmarkEnd w:id="82"/>
      <w:bookmarkStart w:id="83" w:name="_Toc7525"/>
      <w:bookmarkStart w:id="84" w:name="_Toc397928630"/>
      <w:bookmarkStart w:id="85" w:name="_Toc498782316"/>
    </w:p>
    <w:p w14:paraId="5CEAB9B7">
      <w:pPr>
        <w:adjustRightInd w:val="0"/>
        <w:snapToGrid w:val="0"/>
        <w:spacing w:line="500" w:lineRule="exact"/>
        <w:ind w:firstLine="422" w:firstLineChars="200"/>
        <w:jc w:val="left"/>
        <w:rPr>
          <w:rFonts w:ascii="宋体" w:hAnsi="宋体" w:cs="宋体"/>
          <w:b/>
          <w:bCs/>
          <w:color w:val="auto"/>
          <w:kern w:val="2"/>
          <w:szCs w:val="21"/>
          <w:highlight w:val="none"/>
        </w:rPr>
      </w:pPr>
      <w:r>
        <w:rPr>
          <w:rFonts w:hint="eastAsia" w:ascii="宋体" w:hAnsi="宋体" w:cs="宋体"/>
          <w:b/>
          <w:bCs/>
          <w:color w:val="auto"/>
          <w:kern w:val="2"/>
          <w:szCs w:val="21"/>
          <w:highlight w:val="none"/>
        </w:rPr>
        <w:t>一、服务需求：</w:t>
      </w:r>
    </w:p>
    <w:p w14:paraId="7A7F7969">
      <w:pPr>
        <w:adjustRightInd w:val="0"/>
        <w:snapToGrid w:val="0"/>
        <w:spacing w:line="500" w:lineRule="exact"/>
        <w:ind w:firstLine="420" w:firstLineChars="200"/>
        <w:jc w:val="left"/>
        <w:rPr>
          <w:rFonts w:ascii="宋体" w:hAnsi="宋体" w:cs="宋体"/>
          <w:color w:val="auto"/>
          <w:kern w:val="2"/>
          <w:szCs w:val="21"/>
          <w:highlight w:val="none"/>
        </w:rPr>
      </w:pPr>
      <w:r>
        <w:rPr>
          <w:rFonts w:hint="eastAsia" w:ascii="宋体" w:hAnsi="宋体" w:cs="宋体"/>
          <w:color w:val="auto"/>
          <w:kern w:val="2"/>
          <w:szCs w:val="21"/>
          <w:highlight w:val="none"/>
        </w:rPr>
        <w:t>大丰区综合立体交通网规划编制、审核等服务，包含1</w:t>
      </w:r>
      <w:r>
        <w:rPr>
          <w:rFonts w:ascii="宋体" w:hAnsi="宋体" w:cs="宋体"/>
          <w:color w:val="auto"/>
          <w:kern w:val="2"/>
          <w:szCs w:val="21"/>
          <w:highlight w:val="none"/>
        </w:rPr>
        <w:t>个总报告</w:t>
      </w:r>
      <w:r>
        <w:rPr>
          <w:rFonts w:hint="eastAsia" w:ascii="宋体" w:hAnsi="宋体" w:cs="宋体"/>
          <w:color w:val="auto"/>
          <w:kern w:val="2"/>
          <w:szCs w:val="21"/>
          <w:highlight w:val="none"/>
        </w:rPr>
        <w:t>（</w:t>
      </w:r>
      <w:r>
        <w:rPr>
          <w:rFonts w:ascii="宋体" w:hAnsi="宋体" w:cs="宋体"/>
          <w:color w:val="auto"/>
          <w:kern w:val="2"/>
          <w:szCs w:val="21"/>
          <w:highlight w:val="none"/>
        </w:rPr>
        <w:t>大丰区</w:t>
      </w:r>
      <w:r>
        <w:rPr>
          <w:rFonts w:hint="eastAsia" w:ascii="宋体" w:hAnsi="宋体" w:cs="宋体"/>
          <w:color w:val="auto"/>
          <w:kern w:val="2"/>
          <w:szCs w:val="21"/>
          <w:highlight w:val="none"/>
        </w:rPr>
        <w:t>综合立体交通网规划（含</w:t>
      </w:r>
      <w:r>
        <w:rPr>
          <w:rFonts w:ascii="宋体" w:hAnsi="宋体" w:cs="宋体"/>
          <w:color w:val="auto"/>
          <w:kern w:val="2"/>
          <w:szCs w:val="21"/>
          <w:highlight w:val="none"/>
        </w:rPr>
        <w:t>“</w:t>
      </w:r>
      <w:r>
        <w:rPr>
          <w:rFonts w:hint="eastAsia" w:ascii="宋体" w:hAnsi="宋体" w:cs="宋体"/>
          <w:color w:val="auto"/>
          <w:kern w:val="2"/>
          <w:szCs w:val="21"/>
          <w:highlight w:val="none"/>
        </w:rPr>
        <w:t>十五五</w:t>
      </w:r>
      <w:r>
        <w:rPr>
          <w:rFonts w:ascii="宋体" w:hAnsi="宋体" w:cs="宋体"/>
          <w:color w:val="auto"/>
          <w:kern w:val="2"/>
          <w:szCs w:val="21"/>
          <w:highlight w:val="none"/>
        </w:rPr>
        <w:t>规划”</w:t>
      </w:r>
      <w:r>
        <w:rPr>
          <w:rFonts w:hint="eastAsia" w:ascii="宋体" w:hAnsi="宋体" w:cs="宋体"/>
          <w:color w:val="auto"/>
          <w:kern w:val="2"/>
          <w:szCs w:val="21"/>
          <w:highlight w:val="none"/>
        </w:rPr>
        <w:t xml:space="preserve">））、 </w:t>
      </w:r>
      <w:r>
        <w:rPr>
          <w:rFonts w:hint="eastAsia" w:ascii="宋体" w:hAnsi="宋体" w:cs="宋体"/>
          <w:color w:val="auto"/>
          <w:kern w:val="2"/>
          <w:szCs w:val="21"/>
          <w:highlight w:val="none"/>
          <w:lang w:val="en-US" w:eastAsia="zh-CN"/>
        </w:rPr>
        <w:t>3</w:t>
      </w:r>
      <w:r>
        <w:rPr>
          <w:rFonts w:hint="eastAsia" w:ascii="宋体" w:hAnsi="宋体" w:cs="宋体"/>
          <w:color w:val="auto"/>
          <w:kern w:val="2"/>
          <w:szCs w:val="21"/>
          <w:highlight w:val="none"/>
        </w:rPr>
        <w:t>个</w:t>
      </w:r>
      <w:r>
        <w:rPr>
          <w:rFonts w:ascii="宋体" w:hAnsi="宋体" w:cs="宋体"/>
          <w:color w:val="auto"/>
          <w:kern w:val="2"/>
          <w:szCs w:val="21"/>
          <w:highlight w:val="none"/>
        </w:rPr>
        <w:t>专题报告</w:t>
      </w:r>
      <w:r>
        <w:rPr>
          <w:rFonts w:hint="eastAsia" w:ascii="宋体" w:hAnsi="宋体" w:cs="宋体"/>
          <w:color w:val="auto"/>
          <w:kern w:val="2"/>
          <w:szCs w:val="21"/>
          <w:highlight w:val="none"/>
        </w:rPr>
        <w:t>（</w:t>
      </w:r>
      <w:r>
        <w:rPr>
          <w:rFonts w:ascii="宋体" w:hAnsi="宋体" w:cs="宋体"/>
          <w:color w:val="auto"/>
          <w:kern w:val="2"/>
          <w:szCs w:val="21"/>
          <w:highlight w:val="none"/>
        </w:rPr>
        <w:t>大丰区物流降本增效</w:t>
      </w:r>
      <w:r>
        <w:rPr>
          <w:rFonts w:hint="eastAsia" w:ascii="宋体" w:hAnsi="宋体" w:cs="宋体"/>
          <w:color w:val="auto"/>
          <w:kern w:val="2"/>
          <w:szCs w:val="21"/>
          <w:highlight w:val="none"/>
        </w:rPr>
        <w:t>调研报告</w:t>
      </w:r>
      <w:r>
        <w:rPr>
          <w:rFonts w:hint="eastAsia" w:ascii="宋体" w:hAnsi="宋体" w:cs="宋体"/>
          <w:color w:val="auto"/>
          <w:kern w:val="2"/>
          <w:szCs w:val="21"/>
          <w:highlight w:val="none"/>
          <w:lang w:eastAsia="zh-CN"/>
        </w:rPr>
        <w:t>、</w:t>
      </w:r>
      <w:r>
        <w:rPr>
          <w:rFonts w:hint="eastAsia" w:ascii="宋体" w:hAnsi="宋体" w:cs="宋体"/>
          <w:color w:val="auto"/>
          <w:kern w:val="2"/>
          <w:szCs w:val="21"/>
          <w:highlight w:val="none"/>
        </w:rPr>
        <w:t>S363路线</w:t>
      </w:r>
      <w:r>
        <w:rPr>
          <w:rFonts w:ascii="宋体" w:hAnsi="宋体" w:cs="宋体"/>
          <w:color w:val="auto"/>
          <w:kern w:val="2"/>
          <w:szCs w:val="21"/>
          <w:highlight w:val="none"/>
        </w:rPr>
        <w:t>方案研究报告</w:t>
      </w:r>
      <w:r>
        <w:rPr>
          <w:rFonts w:hint="eastAsia" w:ascii="宋体" w:hAnsi="宋体" w:cs="宋体"/>
          <w:color w:val="auto"/>
          <w:kern w:val="2"/>
          <w:szCs w:val="21"/>
          <w:highlight w:val="none"/>
          <w:lang w:eastAsia="zh-CN"/>
        </w:rPr>
        <w:t>及《大丰区内河港口总体规划（2017~2030）》修订</w:t>
      </w:r>
      <w:r>
        <w:rPr>
          <w:rFonts w:hint="eastAsia" w:ascii="宋体" w:hAnsi="宋体" w:cs="宋体"/>
          <w:color w:val="auto"/>
          <w:kern w:val="2"/>
          <w:szCs w:val="21"/>
          <w:highlight w:val="none"/>
        </w:rPr>
        <w:t>）</w:t>
      </w:r>
    </w:p>
    <w:p w14:paraId="10E5B2F5">
      <w:pPr>
        <w:adjustRightInd w:val="0"/>
        <w:snapToGrid w:val="0"/>
        <w:spacing w:line="500" w:lineRule="exact"/>
        <w:ind w:firstLine="420" w:firstLineChars="200"/>
        <w:jc w:val="left"/>
        <w:rPr>
          <w:rFonts w:hint="eastAsia" w:ascii="宋体" w:hAnsi="宋体" w:eastAsia="宋体" w:cs="宋体"/>
          <w:color w:val="auto"/>
          <w:kern w:val="2"/>
          <w:szCs w:val="21"/>
          <w:highlight w:val="none"/>
          <w:lang w:eastAsia="zh-CN"/>
        </w:rPr>
      </w:pPr>
      <w:r>
        <w:rPr>
          <w:rFonts w:hint="eastAsia" w:ascii="宋体" w:hAnsi="宋体" w:cs="宋体"/>
          <w:color w:val="auto"/>
          <w:szCs w:val="21"/>
          <w:highlight w:val="none"/>
        </w:rPr>
        <w:t>1.</w:t>
      </w:r>
      <w:r>
        <w:rPr>
          <w:rFonts w:hint="eastAsia" w:ascii="宋体" w:hAnsi="宋体" w:cs="宋体"/>
          <w:color w:val="auto"/>
          <w:kern w:val="2"/>
          <w:szCs w:val="21"/>
          <w:highlight w:val="none"/>
        </w:rPr>
        <w:t>《大丰区综合立体交通网规划（含“十五五”规划）》</w:t>
      </w:r>
    </w:p>
    <w:p w14:paraId="0E5942E9">
      <w:pPr>
        <w:adjustRightInd w:val="0"/>
        <w:snapToGrid w:val="0"/>
        <w:spacing w:line="500" w:lineRule="exact"/>
        <w:ind w:firstLine="420" w:firstLineChars="200"/>
        <w:jc w:val="left"/>
        <w:rPr>
          <w:rFonts w:hint="eastAsia" w:ascii="宋体" w:hAnsi="宋体" w:cs="宋体"/>
          <w:color w:val="auto"/>
          <w:kern w:val="2"/>
          <w:szCs w:val="21"/>
          <w:highlight w:val="none"/>
        </w:rPr>
      </w:pPr>
      <w:r>
        <w:rPr>
          <w:rFonts w:hint="eastAsia" w:ascii="宋体" w:hAnsi="宋体" w:cs="宋体"/>
          <w:color w:val="auto"/>
          <w:kern w:val="2"/>
          <w:szCs w:val="21"/>
          <w:highlight w:val="none"/>
        </w:rPr>
        <w:t>此次规划将系统思考大丰区在综合立体交通网络布局、交通运输服务能力、交通行业治理体系和治理能力等方面的薄弱环节，提出发展思路和具体策略，为加快构建我区现代化综合立体交通，全面提升交通服务能力提供理论指导。</w:t>
      </w:r>
    </w:p>
    <w:p w14:paraId="391E0BE0">
      <w:pPr>
        <w:adjustRightInd w:val="0"/>
        <w:snapToGrid w:val="0"/>
        <w:spacing w:line="500" w:lineRule="exact"/>
        <w:ind w:firstLine="420" w:firstLineChars="200"/>
        <w:jc w:val="left"/>
        <w:rPr>
          <w:rFonts w:hint="eastAsia" w:ascii="宋体" w:hAnsi="宋体" w:eastAsia="宋体" w:cs="宋体"/>
          <w:color w:val="auto"/>
          <w:kern w:val="2"/>
          <w:szCs w:val="21"/>
          <w:highlight w:val="none"/>
          <w:lang w:val="en-US" w:eastAsia="zh-CN"/>
        </w:rPr>
      </w:pPr>
      <w:r>
        <w:rPr>
          <w:rFonts w:hint="eastAsia" w:ascii="宋体" w:hAnsi="宋体" w:cs="宋体"/>
          <w:color w:val="auto"/>
          <w:kern w:val="2"/>
          <w:szCs w:val="21"/>
          <w:highlight w:val="none"/>
        </w:rPr>
        <w:t>本次规划</w:t>
      </w:r>
      <w:r>
        <w:rPr>
          <w:rFonts w:hint="eastAsia" w:ascii="宋体" w:hAnsi="宋体" w:cs="宋体"/>
          <w:color w:val="auto"/>
          <w:kern w:val="2"/>
          <w:szCs w:val="21"/>
          <w:highlight w:val="none"/>
          <w:lang w:eastAsia="zh-CN"/>
        </w:rPr>
        <w:t>展望至</w:t>
      </w:r>
      <w:r>
        <w:rPr>
          <w:rFonts w:hint="eastAsia" w:ascii="宋体" w:hAnsi="宋体" w:cs="宋体"/>
          <w:color w:val="auto"/>
          <w:kern w:val="2"/>
          <w:szCs w:val="21"/>
          <w:highlight w:val="none"/>
          <w:lang w:val="en-US" w:eastAsia="zh-CN"/>
        </w:rPr>
        <w:t>2035年，需对此期间内对上项目、政策的争取以及省级重点工程的规划做好衔接。同时编制完成大丰区“十五五”综合交通运输发展规划和两个课题研究，一是</w:t>
      </w:r>
      <w:r>
        <w:rPr>
          <w:rFonts w:hint="eastAsia" w:ascii="宋体" w:hAnsi="宋体" w:cs="宋体"/>
          <w:color w:val="auto"/>
          <w:kern w:val="2"/>
          <w:szCs w:val="21"/>
          <w:highlight w:val="none"/>
        </w:rPr>
        <w:t>“十五五”时期打造东部沿海区域性综合交通枢纽的思路研究</w:t>
      </w:r>
      <w:r>
        <w:rPr>
          <w:rFonts w:hint="eastAsia" w:ascii="宋体" w:hAnsi="宋体" w:cs="宋体"/>
          <w:color w:val="auto"/>
          <w:kern w:val="2"/>
          <w:szCs w:val="21"/>
          <w:highlight w:val="none"/>
          <w:lang w:eastAsia="zh-CN"/>
        </w:rPr>
        <w:t>，二是</w:t>
      </w:r>
      <w:r>
        <w:rPr>
          <w:rFonts w:hint="eastAsia" w:ascii="宋体" w:hAnsi="宋体" w:cs="宋体"/>
          <w:color w:val="auto"/>
          <w:kern w:val="2"/>
          <w:szCs w:val="21"/>
          <w:highlight w:val="none"/>
        </w:rPr>
        <w:t>加快现代物流高质量发展的思路研究。</w:t>
      </w:r>
    </w:p>
    <w:p w14:paraId="5F64E030">
      <w:pPr>
        <w:adjustRightInd w:val="0"/>
        <w:snapToGrid w:val="0"/>
        <w:spacing w:line="500" w:lineRule="exact"/>
        <w:ind w:firstLine="420" w:firstLineChars="200"/>
        <w:jc w:val="left"/>
        <w:rPr>
          <w:rFonts w:hint="eastAsia" w:ascii="宋体" w:hAnsi="宋体" w:eastAsia="宋体" w:cs="宋体"/>
          <w:color w:val="auto"/>
          <w:kern w:val="2"/>
          <w:szCs w:val="21"/>
          <w:highlight w:val="none"/>
          <w:lang w:eastAsia="zh-CN"/>
        </w:rPr>
      </w:pPr>
      <w:r>
        <w:rPr>
          <w:rFonts w:hint="eastAsia" w:ascii="宋体" w:hAnsi="宋体" w:cs="宋体"/>
          <w:color w:val="auto"/>
          <w:szCs w:val="21"/>
          <w:highlight w:val="none"/>
        </w:rPr>
        <w:t>2.</w:t>
      </w:r>
      <w:r>
        <w:rPr>
          <w:rFonts w:hint="eastAsia" w:ascii="宋体" w:hAnsi="宋体" w:cs="宋体"/>
          <w:color w:val="auto"/>
          <w:kern w:val="2"/>
          <w:szCs w:val="21"/>
          <w:highlight w:val="none"/>
        </w:rPr>
        <w:t>《大丰区物流降本增效</w:t>
      </w:r>
      <w:r>
        <w:rPr>
          <w:rFonts w:hint="eastAsia" w:ascii="宋体" w:hAnsi="宋体" w:cs="宋体"/>
          <w:color w:val="auto"/>
          <w:kern w:val="2"/>
          <w:szCs w:val="21"/>
          <w:highlight w:val="none"/>
          <w:lang w:eastAsia="zh-CN"/>
        </w:rPr>
        <w:t>问题分析和对策研究</w:t>
      </w:r>
      <w:r>
        <w:rPr>
          <w:rFonts w:hint="eastAsia" w:ascii="宋体" w:hAnsi="宋体" w:cs="宋体"/>
          <w:color w:val="auto"/>
          <w:kern w:val="2"/>
          <w:szCs w:val="21"/>
          <w:highlight w:val="none"/>
        </w:rPr>
        <w:t>》</w:t>
      </w:r>
    </w:p>
    <w:p w14:paraId="4B1359EC">
      <w:pPr>
        <w:adjustRightInd w:val="0"/>
        <w:snapToGrid w:val="0"/>
        <w:spacing w:line="500" w:lineRule="exact"/>
        <w:ind w:firstLine="420" w:firstLineChars="200"/>
        <w:jc w:val="left"/>
        <w:rPr>
          <w:rFonts w:ascii="宋体" w:hAnsi="宋体" w:cs="宋体"/>
          <w:color w:val="auto"/>
          <w:kern w:val="2"/>
          <w:szCs w:val="21"/>
          <w:highlight w:val="none"/>
        </w:rPr>
      </w:pPr>
      <w:r>
        <w:rPr>
          <w:rFonts w:hint="eastAsia" w:ascii="宋体" w:hAnsi="宋体" w:cs="宋体"/>
          <w:color w:val="auto"/>
          <w:kern w:val="2"/>
          <w:szCs w:val="21"/>
          <w:highlight w:val="none"/>
        </w:rPr>
        <w:t>主要内容包括调研大丰区物流发展现状和物流需求及成本，研究分析“十五五”产业规划、布局规划对物流的相关需求，提出在“十五五”产业规划下企业物流降本增效对策建议。</w:t>
      </w:r>
    </w:p>
    <w:p w14:paraId="372CCD2F">
      <w:pPr>
        <w:adjustRightInd w:val="0"/>
        <w:snapToGrid w:val="0"/>
        <w:spacing w:line="500" w:lineRule="exact"/>
        <w:ind w:firstLine="420" w:firstLineChars="200"/>
        <w:jc w:val="left"/>
        <w:rPr>
          <w:rFonts w:ascii="宋体" w:hAnsi="宋体" w:cs="宋体"/>
          <w:color w:val="auto"/>
          <w:kern w:val="2"/>
          <w:szCs w:val="21"/>
          <w:highlight w:val="none"/>
        </w:rPr>
      </w:pPr>
      <w:r>
        <w:rPr>
          <w:rFonts w:hint="eastAsia" w:ascii="宋体" w:hAnsi="宋体" w:cs="宋体"/>
          <w:color w:val="auto"/>
          <w:szCs w:val="21"/>
          <w:highlight w:val="none"/>
          <w:lang w:val="en-US" w:eastAsia="zh-CN"/>
        </w:rPr>
        <w:t>3</w:t>
      </w:r>
      <w:r>
        <w:rPr>
          <w:rFonts w:hint="eastAsia" w:ascii="宋体" w:hAnsi="宋体" w:cs="宋体"/>
          <w:color w:val="auto"/>
          <w:szCs w:val="21"/>
          <w:highlight w:val="none"/>
        </w:rPr>
        <w:t>.</w:t>
      </w:r>
      <w:r>
        <w:rPr>
          <w:rFonts w:hint="eastAsia" w:ascii="宋体" w:hAnsi="宋体" w:cs="宋体"/>
          <w:color w:val="auto"/>
          <w:kern w:val="2"/>
          <w:szCs w:val="21"/>
          <w:highlight w:val="none"/>
        </w:rPr>
        <w:t>《S363路线方案研究报告》</w:t>
      </w:r>
    </w:p>
    <w:p w14:paraId="6C50D101">
      <w:pPr>
        <w:adjustRightInd w:val="0"/>
        <w:snapToGrid w:val="0"/>
        <w:spacing w:line="500" w:lineRule="exact"/>
        <w:ind w:firstLine="420" w:firstLineChars="200"/>
        <w:jc w:val="left"/>
        <w:rPr>
          <w:rFonts w:hint="eastAsia" w:ascii="宋体" w:hAnsi="宋体" w:cs="宋体"/>
          <w:color w:val="auto"/>
          <w:kern w:val="2"/>
          <w:szCs w:val="21"/>
          <w:highlight w:val="none"/>
        </w:rPr>
      </w:pPr>
      <w:r>
        <w:rPr>
          <w:rFonts w:hint="eastAsia" w:ascii="宋体" w:hAnsi="宋体" w:cs="宋体"/>
          <w:color w:val="auto"/>
          <w:kern w:val="2"/>
          <w:szCs w:val="21"/>
          <w:highlight w:val="none"/>
        </w:rPr>
        <w:t>根据省政府批复的《江苏省省道公路网规划（2023-2035年）》，大丰区境内新规划一条普通省道公路，编号S363。拟根据省道网规划的路线走廊带，从项目建设可行性论证、建设方案比选等方面开展路线方案研究，合理规划路线方案，供区委、区政府研究决策。</w:t>
      </w:r>
    </w:p>
    <w:p w14:paraId="73BD6590">
      <w:pPr>
        <w:adjustRightInd w:val="0"/>
        <w:snapToGrid w:val="0"/>
        <w:spacing w:line="500" w:lineRule="exact"/>
        <w:ind w:firstLine="420" w:firstLineChars="200"/>
        <w:jc w:val="left"/>
        <w:rPr>
          <w:rFonts w:hint="eastAsia" w:ascii="宋体" w:hAnsi="宋体" w:cs="宋体"/>
          <w:color w:val="auto"/>
          <w:kern w:val="2"/>
          <w:szCs w:val="21"/>
          <w:highlight w:val="none"/>
          <w:lang w:eastAsia="zh-CN"/>
        </w:rPr>
      </w:pPr>
      <w:r>
        <w:rPr>
          <w:rFonts w:hint="eastAsia" w:ascii="宋体" w:hAnsi="宋体" w:cs="宋体"/>
          <w:color w:val="auto"/>
          <w:kern w:val="2"/>
          <w:szCs w:val="21"/>
          <w:highlight w:val="none"/>
          <w:lang w:val="en-US" w:eastAsia="zh-CN"/>
        </w:rPr>
        <w:t>4</w:t>
      </w:r>
      <w:r>
        <w:rPr>
          <w:rFonts w:hint="eastAsia" w:ascii="宋体" w:hAnsi="宋体" w:cs="宋体"/>
          <w:color w:val="auto"/>
          <w:kern w:val="2"/>
          <w:szCs w:val="21"/>
          <w:highlight w:val="none"/>
        </w:rPr>
        <w:t>.</w:t>
      </w:r>
      <w:r>
        <w:rPr>
          <w:rFonts w:hint="eastAsia" w:ascii="宋体" w:hAnsi="宋体" w:cs="宋体"/>
          <w:color w:val="auto"/>
          <w:kern w:val="2"/>
          <w:szCs w:val="21"/>
          <w:highlight w:val="none"/>
          <w:lang w:eastAsia="zh-CN"/>
        </w:rPr>
        <w:t>《大丰区内河港口总体规划（2017~2030）》修订</w:t>
      </w:r>
    </w:p>
    <w:p w14:paraId="30BEE60E">
      <w:pPr>
        <w:adjustRightInd w:val="0"/>
        <w:snapToGrid w:val="0"/>
        <w:spacing w:line="500" w:lineRule="exact"/>
        <w:ind w:firstLine="420" w:firstLineChars="200"/>
        <w:jc w:val="left"/>
        <w:rPr>
          <w:rFonts w:hint="default" w:ascii="宋体" w:hAnsi="宋体" w:cs="宋体"/>
          <w:color w:val="auto"/>
          <w:kern w:val="2"/>
          <w:szCs w:val="21"/>
          <w:highlight w:val="none"/>
          <w:lang w:val="en-US" w:eastAsia="zh-CN"/>
        </w:rPr>
      </w:pPr>
      <w:r>
        <w:rPr>
          <w:rFonts w:hint="eastAsia" w:ascii="宋体" w:hAnsi="宋体" w:cs="宋体"/>
          <w:color w:val="auto"/>
          <w:kern w:val="2"/>
          <w:szCs w:val="21"/>
          <w:highlight w:val="none"/>
          <w:lang w:val="en-US" w:eastAsia="zh-CN"/>
        </w:rPr>
        <w:t xml:space="preserve"> 大丰区内河港口总体规划应进一步促进资源集约利用、促进陆海统筹、促进运输结构调整、促进港产城融合发展，满足绿色生态发展等更高的要求，建设集约、高效、绿色、现代化的内河港口。</w:t>
      </w:r>
    </w:p>
    <w:p w14:paraId="509DD248">
      <w:pPr>
        <w:adjustRightInd w:val="0"/>
        <w:snapToGrid w:val="0"/>
        <w:spacing w:line="500" w:lineRule="exact"/>
        <w:ind w:firstLine="480"/>
        <w:rPr>
          <w:rFonts w:ascii="宋体" w:hAnsi="宋体" w:cs="宋体"/>
          <w:color w:val="auto"/>
          <w:szCs w:val="21"/>
          <w:highlight w:val="none"/>
        </w:rPr>
      </w:pPr>
      <w:r>
        <w:rPr>
          <w:rFonts w:hint="eastAsia" w:ascii="宋体" w:hAnsi="宋体" w:cs="宋体"/>
          <w:b/>
          <w:bCs/>
          <w:color w:val="auto"/>
          <w:szCs w:val="21"/>
          <w:highlight w:val="none"/>
        </w:rPr>
        <w:t>二、规划范围和年限</w:t>
      </w:r>
    </w:p>
    <w:p w14:paraId="3DF32EC0">
      <w:pPr>
        <w:adjustRightInd w:val="0"/>
        <w:snapToGrid w:val="0"/>
        <w:spacing w:line="500" w:lineRule="exact"/>
        <w:ind w:firstLine="480"/>
        <w:rPr>
          <w:rFonts w:ascii="宋体" w:hAnsi="宋体" w:cs="宋体"/>
          <w:color w:val="auto"/>
          <w:szCs w:val="21"/>
          <w:highlight w:val="none"/>
        </w:rPr>
      </w:pPr>
      <w:r>
        <w:rPr>
          <w:rFonts w:hint="eastAsia" w:ascii="宋体" w:hAnsi="宋体" w:cs="宋体"/>
          <w:color w:val="auto"/>
          <w:szCs w:val="21"/>
          <w:highlight w:val="none"/>
        </w:rPr>
        <w:t>1.规划范围：大丰区所辖范围</w:t>
      </w:r>
    </w:p>
    <w:p w14:paraId="390A0649">
      <w:pPr>
        <w:adjustRightInd w:val="0"/>
        <w:snapToGrid w:val="0"/>
        <w:spacing w:line="500" w:lineRule="exact"/>
        <w:ind w:firstLine="480"/>
        <w:rPr>
          <w:rFonts w:ascii="宋体" w:hAnsi="宋体" w:cs="宋体"/>
          <w:color w:val="auto"/>
          <w:szCs w:val="21"/>
          <w:highlight w:val="none"/>
        </w:rPr>
      </w:pPr>
      <w:r>
        <w:rPr>
          <w:rFonts w:hint="eastAsia" w:ascii="宋体" w:hAnsi="宋体" w:cs="宋体"/>
          <w:color w:val="auto"/>
          <w:szCs w:val="21"/>
          <w:highlight w:val="none"/>
        </w:rPr>
        <w:t>2.规划年限：2026年-203</w:t>
      </w:r>
      <w:r>
        <w:rPr>
          <w:rFonts w:hint="eastAsia" w:ascii="宋体" w:hAnsi="宋体" w:cs="宋体"/>
          <w:color w:val="auto"/>
          <w:szCs w:val="21"/>
          <w:highlight w:val="none"/>
          <w:lang w:val="en-US" w:eastAsia="zh-CN"/>
        </w:rPr>
        <w:t>5</w:t>
      </w:r>
      <w:r>
        <w:rPr>
          <w:rFonts w:hint="eastAsia" w:ascii="宋体" w:hAnsi="宋体" w:cs="宋体"/>
          <w:color w:val="auto"/>
          <w:szCs w:val="21"/>
          <w:highlight w:val="none"/>
        </w:rPr>
        <w:t>年</w:t>
      </w:r>
    </w:p>
    <w:p w14:paraId="446E7B90">
      <w:pPr>
        <w:adjustRightInd w:val="0"/>
        <w:snapToGrid w:val="0"/>
        <w:spacing w:line="500" w:lineRule="exact"/>
        <w:ind w:firstLine="480"/>
        <w:rPr>
          <w:rFonts w:ascii="宋体" w:hAnsi="宋体" w:cs="宋体"/>
          <w:b/>
          <w:bCs/>
          <w:color w:val="auto"/>
          <w:szCs w:val="21"/>
          <w:highlight w:val="none"/>
        </w:rPr>
      </w:pPr>
      <w:r>
        <w:rPr>
          <w:rFonts w:hint="eastAsia" w:ascii="宋体" w:hAnsi="宋体" w:cs="宋体"/>
          <w:b/>
          <w:bCs/>
          <w:color w:val="auto"/>
          <w:szCs w:val="21"/>
          <w:highlight w:val="none"/>
        </w:rPr>
        <w:t>三、进度要求</w:t>
      </w:r>
    </w:p>
    <w:p w14:paraId="34FE69CE">
      <w:pPr>
        <w:adjustRightInd w:val="0"/>
        <w:snapToGrid w:val="0"/>
        <w:spacing w:line="500" w:lineRule="exact"/>
        <w:ind w:firstLine="420" w:firstLineChars="200"/>
        <w:jc w:val="left"/>
        <w:rPr>
          <w:rFonts w:hint="eastAsia" w:ascii="宋体" w:hAnsi="宋体" w:cs="宋体"/>
          <w:color w:val="auto"/>
          <w:kern w:val="2"/>
          <w:szCs w:val="21"/>
          <w:highlight w:val="none"/>
        </w:rPr>
      </w:pPr>
      <w:r>
        <w:rPr>
          <w:rFonts w:hint="eastAsia" w:ascii="宋体" w:hAnsi="宋体" w:cs="宋体"/>
          <w:color w:val="auto"/>
          <w:kern w:val="2"/>
          <w:szCs w:val="21"/>
          <w:highlight w:val="none"/>
        </w:rPr>
        <w:t>202</w:t>
      </w:r>
      <w:r>
        <w:rPr>
          <w:rFonts w:hint="eastAsia" w:ascii="宋体" w:hAnsi="宋体" w:cs="宋体"/>
          <w:color w:val="auto"/>
          <w:kern w:val="2"/>
          <w:szCs w:val="21"/>
          <w:highlight w:val="none"/>
          <w:lang w:val="en-US" w:eastAsia="zh-CN"/>
        </w:rPr>
        <w:t>5</w:t>
      </w:r>
      <w:r>
        <w:rPr>
          <w:rFonts w:hint="eastAsia" w:ascii="宋体" w:hAnsi="宋体" w:cs="宋体"/>
          <w:color w:val="auto"/>
          <w:kern w:val="2"/>
          <w:szCs w:val="21"/>
          <w:highlight w:val="none"/>
        </w:rPr>
        <w:t>年</w:t>
      </w:r>
      <w:r>
        <w:rPr>
          <w:rFonts w:hint="eastAsia" w:ascii="宋体" w:hAnsi="宋体" w:cs="宋体"/>
          <w:color w:val="auto"/>
          <w:kern w:val="2"/>
          <w:szCs w:val="21"/>
          <w:highlight w:val="none"/>
          <w:lang w:val="en-US" w:eastAsia="zh-CN"/>
        </w:rPr>
        <w:t>12</w:t>
      </w:r>
      <w:r>
        <w:rPr>
          <w:rFonts w:hint="eastAsia" w:ascii="宋体" w:hAnsi="宋体" w:cs="宋体"/>
          <w:color w:val="auto"/>
          <w:kern w:val="2"/>
          <w:szCs w:val="21"/>
          <w:highlight w:val="none"/>
        </w:rPr>
        <w:t>月底前，完成《大丰区</w:t>
      </w:r>
      <w:r>
        <w:rPr>
          <w:rFonts w:hint="eastAsia" w:ascii="宋体" w:hAnsi="宋体" w:cs="宋体"/>
          <w:color w:val="auto"/>
          <w:kern w:val="2"/>
          <w:szCs w:val="21"/>
          <w:highlight w:val="none"/>
          <w:lang w:eastAsia="zh-CN"/>
        </w:rPr>
        <w:t>“十五五”</w:t>
      </w:r>
      <w:r>
        <w:rPr>
          <w:rFonts w:hint="eastAsia" w:ascii="宋体" w:hAnsi="宋体" w:cs="宋体"/>
          <w:color w:val="auto"/>
          <w:kern w:val="2"/>
          <w:szCs w:val="21"/>
          <w:highlight w:val="none"/>
        </w:rPr>
        <w:t>综合</w:t>
      </w:r>
      <w:r>
        <w:rPr>
          <w:rFonts w:hint="eastAsia" w:ascii="宋体" w:hAnsi="宋体" w:cs="宋体"/>
          <w:color w:val="auto"/>
          <w:kern w:val="2"/>
          <w:szCs w:val="21"/>
          <w:highlight w:val="none"/>
          <w:lang w:eastAsia="zh-CN"/>
        </w:rPr>
        <w:t>交通运输发展规划</w:t>
      </w:r>
      <w:r>
        <w:rPr>
          <w:rFonts w:hint="eastAsia" w:ascii="宋体" w:hAnsi="宋体" w:cs="宋体"/>
          <w:color w:val="auto"/>
          <w:kern w:val="2"/>
          <w:szCs w:val="21"/>
          <w:highlight w:val="none"/>
        </w:rPr>
        <w:t>》</w:t>
      </w:r>
      <w:r>
        <w:rPr>
          <w:rFonts w:hint="eastAsia" w:ascii="宋体" w:hAnsi="宋体" w:cs="宋体"/>
          <w:color w:val="auto"/>
          <w:kern w:val="2"/>
          <w:szCs w:val="21"/>
          <w:highlight w:val="none"/>
          <w:lang w:eastAsia="zh-CN"/>
        </w:rPr>
        <w:t>、</w:t>
      </w:r>
      <w:r>
        <w:rPr>
          <w:rFonts w:hint="eastAsia" w:ascii="宋体" w:hAnsi="宋体" w:cs="宋体"/>
          <w:color w:val="auto"/>
          <w:kern w:val="2"/>
          <w:szCs w:val="21"/>
          <w:highlight w:val="none"/>
        </w:rPr>
        <w:t>《大丰区物流降本增效</w:t>
      </w:r>
      <w:r>
        <w:rPr>
          <w:rFonts w:hint="eastAsia" w:ascii="宋体" w:hAnsi="宋体" w:cs="宋体"/>
          <w:color w:val="auto"/>
          <w:kern w:val="2"/>
          <w:szCs w:val="21"/>
          <w:highlight w:val="none"/>
          <w:lang w:eastAsia="zh-CN"/>
        </w:rPr>
        <w:t>问题分析和对策研究</w:t>
      </w:r>
      <w:r>
        <w:rPr>
          <w:rFonts w:hint="eastAsia" w:ascii="宋体" w:hAnsi="宋体" w:cs="宋体"/>
          <w:color w:val="auto"/>
          <w:kern w:val="2"/>
          <w:szCs w:val="21"/>
          <w:highlight w:val="none"/>
        </w:rPr>
        <w:t>》</w:t>
      </w:r>
      <w:r>
        <w:rPr>
          <w:rFonts w:hint="eastAsia" w:ascii="宋体" w:hAnsi="宋体" w:cs="宋体"/>
          <w:color w:val="auto"/>
          <w:kern w:val="2"/>
          <w:szCs w:val="21"/>
          <w:highlight w:val="none"/>
          <w:lang w:eastAsia="zh-CN"/>
        </w:rPr>
        <w:t>、</w:t>
      </w:r>
      <w:r>
        <w:rPr>
          <w:rFonts w:hint="eastAsia" w:ascii="宋体" w:hAnsi="宋体" w:cs="宋体"/>
          <w:color w:val="auto"/>
          <w:kern w:val="2"/>
          <w:szCs w:val="21"/>
          <w:highlight w:val="none"/>
        </w:rPr>
        <w:t>《S363路线方案研究报告》</w:t>
      </w:r>
      <w:r>
        <w:rPr>
          <w:rFonts w:hint="eastAsia" w:ascii="宋体" w:hAnsi="宋体" w:cs="宋体"/>
          <w:color w:val="auto"/>
          <w:kern w:val="2"/>
          <w:szCs w:val="21"/>
          <w:highlight w:val="none"/>
          <w:lang w:eastAsia="zh-CN"/>
        </w:rPr>
        <w:t>及《大丰区内河港口总体规划（2017~2030）》修订等</w:t>
      </w:r>
      <w:r>
        <w:rPr>
          <w:rFonts w:hint="eastAsia" w:ascii="宋体" w:hAnsi="宋体" w:cs="宋体"/>
          <w:color w:val="auto"/>
          <w:kern w:val="2"/>
          <w:szCs w:val="21"/>
          <w:highlight w:val="none"/>
        </w:rPr>
        <w:t>初稿并组织专家评审。</w:t>
      </w:r>
    </w:p>
    <w:p w14:paraId="30ACE1E3">
      <w:pPr>
        <w:adjustRightInd w:val="0"/>
        <w:snapToGrid w:val="0"/>
        <w:spacing w:line="500" w:lineRule="exact"/>
        <w:ind w:firstLine="420" w:firstLineChars="200"/>
        <w:jc w:val="left"/>
        <w:rPr>
          <w:rFonts w:hint="eastAsia" w:ascii="宋体" w:hAnsi="宋体" w:cs="宋体"/>
          <w:color w:val="auto"/>
          <w:kern w:val="2"/>
          <w:szCs w:val="21"/>
          <w:highlight w:val="none"/>
        </w:rPr>
      </w:pPr>
      <w:r>
        <w:rPr>
          <w:rFonts w:hint="eastAsia" w:ascii="宋体" w:hAnsi="宋体" w:cs="宋体"/>
          <w:color w:val="auto"/>
          <w:kern w:val="2"/>
          <w:szCs w:val="21"/>
          <w:highlight w:val="none"/>
        </w:rPr>
        <w:t>202</w:t>
      </w:r>
      <w:r>
        <w:rPr>
          <w:rFonts w:hint="eastAsia" w:ascii="宋体" w:hAnsi="宋体" w:cs="宋体"/>
          <w:color w:val="auto"/>
          <w:kern w:val="2"/>
          <w:szCs w:val="21"/>
          <w:highlight w:val="none"/>
          <w:lang w:val="en-US" w:eastAsia="zh-CN"/>
        </w:rPr>
        <w:t>6</w:t>
      </w:r>
      <w:r>
        <w:rPr>
          <w:rFonts w:hint="eastAsia" w:ascii="宋体" w:hAnsi="宋体" w:cs="宋体"/>
          <w:color w:val="auto"/>
          <w:kern w:val="2"/>
          <w:szCs w:val="21"/>
          <w:highlight w:val="none"/>
        </w:rPr>
        <w:t>年</w:t>
      </w:r>
      <w:r>
        <w:rPr>
          <w:rFonts w:hint="eastAsia" w:ascii="宋体" w:hAnsi="宋体" w:cs="宋体"/>
          <w:color w:val="auto"/>
          <w:kern w:val="2"/>
          <w:szCs w:val="21"/>
          <w:highlight w:val="none"/>
          <w:lang w:val="en-US" w:eastAsia="zh-CN"/>
        </w:rPr>
        <w:t>1</w:t>
      </w:r>
      <w:r>
        <w:rPr>
          <w:rFonts w:hint="eastAsia" w:ascii="宋体" w:hAnsi="宋体" w:cs="宋体"/>
          <w:color w:val="auto"/>
          <w:kern w:val="2"/>
          <w:szCs w:val="21"/>
          <w:highlight w:val="none"/>
        </w:rPr>
        <w:t>月底前，</w:t>
      </w:r>
      <w:r>
        <w:rPr>
          <w:rFonts w:hint="eastAsia" w:ascii="宋体" w:hAnsi="宋体" w:cs="宋体"/>
          <w:color w:val="auto"/>
          <w:kern w:val="2"/>
          <w:szCs w:val="21"/>
          <w:highlight w:val="none"/>
          <w:lang w:eastAsia="zh-CN"/>
        </w:rPr>
        <w:t>提交</w:t>
      </w:r>
      <w:r>
        <w:rPr>
          <w:rFonts w:hint="eastAsia" w:ascii="宋体" w:hAnsi="宋体" w:cs="宋体"/>
          <w:color w:val="auto"/>
          <w:kern w:val="2"/>
          <w:szCs w:val="21"/>
          <w:highlight w:val="none"/>
        </w:rPr>
        <w:t>《大丰区</w:t>
      </w:r>
      <w:r>
        <w:rPr>
          <w:rFonts w:hint="eastAsia" w:ascii="宋体" w:hAnsi="宋体" w:cs="宋体"/>
          <w:color w:val="auto"/>
          <w:kern w:val="2"/>
          <w:szCs w:val="21"/>
          <w:highlight w:val="none"/>
          <w:lang w:eastAsia="zh-CN"/>
        </w:rPr>
        <w:t>“十五五”</w:t>
      </w:r>
      <w:r>
        <w:rPr>
          <w:rFonts w:hint="eastAsia" w:ascii="宋体" w:hAnsi="宋体" w:cs="宋体"/>
          <w:color w:val="auto"/>
          <w:kern w:val="2"/>
          <w:szCs w:val="21"/>
          <w:highlight w:val="none"/>
        </w:rPr>
        <w:t>综合</w:t>
      </w:r>
      <w:r>
        <w:rPr>
          <w:rFonts w:hint="eastAsia" w:ascii="宋体" w:hAnsi="宋体" w:cs="宋体"/>
          <w:color w:val="auto"/>
          <w:kern w:val="2"/>
          <w:szCs w:val="21"/>
          <w:highlight w:val="none"/>
          <w:lang w:eastAsia="zh-CN"/>
        </w:rPr>
        <w:t>交通运输发展规划</w:t>
      </w:r>
      <w:r>
        <w:rPr>
          <w:rFonts w:hint="eastAsia" w:ascii="宋体" w:hAnsi="宋体" w:cs="宋体"/>
          <w:color w:val="auto"/>
          <w:kern w:val="2"/>
          <w:szCs w:val="21"/>
          <w:highlight w:val="none"/>
        </w:rPr>
        <w:t>》</w:t>
      </w:r>
      <w:r>
        <w:rPr>
          <w:rFonts w:hint="eastAsia" w:ascii="宋体" w:hAnsi="宋体" w:cs="宋体"/>
          <w:color w:val="auto"/>
          <w:kern w:val="2"/>
          <w:szCs w:val="21"/>
          <w:highlight w:val="none"/>
          <w:lang w:eastAsia="zh-CN"/>
        </w:rPr>
        <w:t>、</w:t>
      </w:r>
      <w:r>
        <w:rPr>
          <w:rFonts w:hint="eastAsia" w:ascii="宋体" w:hAnsi="宋体" w:cs="宋体"/>
          <w:color w:val="auto"/>
          <w:kern w:val="2"/>
          <w:szCs w:val="21"/>
          <w:highlight w:val="none"/>
        </w:rPr>
        <w:t>《大丰区物流降本增效</w:t>
      </w:r>
      <w:r>
        <w:rPr>
          <w:rFonts w:hint="eastAsia" w:ascii="宋体" w:hAnsi="宋体" w:cs="宋体"/>
          <w:color w:val="auto"/>
          <w:kern w:val="2"/>
          <w:szCs w:val="21"/>
          <w:highlight w:val="none"/>
          <w:lang w:eastAsia="zh-CN"/>
        </w:rPr>
        <w:t>问题分析和对策研究</w:t>
      </w:r>
      <w:r>
        <w:rPr>
          <w:rFonts w:hint="eastAsia" w:ascii="宋体" w:hAnsi="宋体" w:cs="宋体"/>
          <w:color w:val="auto"/>
          <w:kern w:val="2"/>
          <w:szCs w:val="21"/>
          <w:highlight w:val="none"/>
        </w:rPr>
        <w:t>》</w:t>
      </w:r>
      <w:r>
        <w:rPr>
          <w:rFonts w:hint="eastAsia" w:ascii="宋体" w:hAnsi="宋体" w:cs="宋体"/>
          <w:color w:val="auto"/>
          <w:kern w:val="2"/>
          <w:szCs w:val="21"/>
          <w:highlight w:val="none"/>
          <w:lang w:eastAsia="zh-CN"/>
        </w:rPr>
        <w:t>、</w:t>
      </w:r>
      <w:r>
        <w:rPr>
          <w:rFonts w:hint="eastAsia" w:ascii="宋体" w:hAnsi="宋体" w:cs="宋体"/>
          <w:color w:val="auto"/>
          <w:kern w:val="2"/>
          <w:szCs w:val="21"/>
          <w:highlight w:val="none"/>
        </w:rPr>
        <w:t>《S363路线方案研究报告》</w:t>
      </w:r>
      <w:r>
        <w:rPr>
          <w:rFonts w:hint="eastAsia" w:ascii="宋体" w:hAnsi="宋体" w:cs="宋体"/>
          <w:color w:val="auto"/>
          <w:kern w:val="2"/>
          <w:szCs w:val="21"/>
          <w:highlight w:val="none"/>
          <w:lang w:eastAsia="zh-CN"/>
        </w:rPr>
        <w:t>及《大丰区内河港口总体规划（2017~2030）》修订等</w:t>
      </w:r>
      <w:r>
        <w:rPr>
          <w:rFonts w:hint="eastAsia" w:ascii="宋体" w:hAnsi="宋体" w:cs="宋体"/>
          <w:color w:val="auto"/>
          <w:kern w:val="2"/>
          <w:szCs w:val="21"/>
          <w:highlight w:val="none"/>
        </w:rPr>
        <w:t>终稿。</w:t>
      </w:r>
    </w:p>
    <w:p w14:paraId="2E2B99C1">
      <w:pPr>
        <w:adjustRightInd w:val="0"/>
        <w:snapToGrid w:val="0"/>
        <w:spacing w:line="500" w:lineRule="exact"/>
        <w:ind w:firstLine="420" w:firstLineChars="200"/>
        <w:jc w:val="left"/>
        <w:rPr>
          <w:rFonts w:hint="eastAsia" w:ascii="宋体" w:hAnsi="宋体" w:cs="宋体"/>
          <w:color w:val="auto"/>
          <w:kern w:val="2"/>
          <w:szCs w:val="21"/>
          <w:highlight w:val="none"/>
          <w:lang w:val="en-US" w:eastAsia="zh-CN"/>
        </w:rPr>
      </w:pPr>
      <w:r>
        <w:rPr>
          <w:rFonts w:hint="eastAsia" w:ascii="宋体" w:hAnsi="宋体" w:cs="宋体"/>
          <w:color w:val="auto"/>
          <w:kern w:val="2"/>
          <w:szCs w:val="21"/>
          <w:highlight w:val="none"/>
        </w:rPr>
        <w:t>202</w:t>
      </w:r>
      <w:r>
        <w:rPr>
          <w:rFonts w:hint="eastAsia" w:ascii="宋体" w:hAnsi="宋体" w:cs="宋体"/>
          <w:color w:val="auto"/>
          <w:kern w:val="2"/>
          <w:szCs w:val="21"/>
          <w:highlight w:val="none"/>
          <w:lang w:val="en-US" w:eastAsia="zh-CN"/>
        </w:rPr>
        <w:t>6</w:t>
      </w:r>
      <w:r>
        <w:rPr>
          <w:rFonts w:hint="eastAsia" w:ascii="宋体" w:hAnsi="宋体" w:cs="宋体"/>
          <w:color w:val="auto"/>
          <w:kern w:val="2"/>
          <w:szCs w:val="21"/>
          <w:highlight w:val="none"/>
        </w:rPr>
        <w:t>年</w:t>
      </w:r>
      <w:r>
        <w:rPr>
          <w:rFonts w:hint="eastAsia" w:ascii="宋体" w:hAnsi="宋体" w:cs="宋体"/>
          <w:color w:val="auto"/>
          <w:kern w:val="2"/>
          <w:szCs w:val="21"/>
          <w:highlight w:val="none"/>
          <w:lang w:val="en-US" w:eastAsia="zh-CN"/>
        </w:rPr>
        <w:t>5</w:t>
      </w:r>
      <w:r>
        <w:rPr>
          <w:rFonts w:hint="eastAsia" w:ascii="宋体" w:hAnsi="宋体" w:cs="宋体"/>
          <w:color w:val="auto"/>
          <w:kern w:val="2"/>
          <w:szCs w:val="21"/>
          <w:highlight w:val="none"/>
        </w:rPr>
        <w:t>月底前，完成《</w:t>
      </w:r>
      <w:r>
        <w:rPr>
          <w:rFonts w:ascii="宋体" w:hAnsi="宋体" w:cs="宋体"/>
          <w:color w:val="auto"/>
          <w:kern w:val="2"/>
          <w:szCs w:val="21"/>
          <w:highlight w:val="none"/>
        </w:rPr>
        <w:t>大丰区</w:t>
      </w:r>
      <w:r>
        <w:rPr>
          <w:rFonts w:hint="eastAsia" w:ascii="宋体" w:hAnsi="宋体" w:cs="宋体"/>
          <w:color w:val="auto"/>
          <w:kern w:val="2"/>
          <w:szCs w:val="21"/>
          <w:highlight w:val="none"/>
        </w:rPr>
        <w:t>综合立体交通网规划》初稿并组织专家评审。</w:t>
      </w:r>
    </w:p>
    <w:p w14:paraId="381A4FFB">
      <w:pPr>
        <w:adjustRightInd w:val="0"/>
        <w:snapToGrid w:val="0"/>
        <w:spacing w:line="500" w:lineRule="exact"/>
        <w:ind w:firstLine="420" w:firstLineChars="200"/>
        <w:jc w:val="left"/>
        <w:rPr>
          <w:rFonts w:hint="eastAsia" w:ascii="宋体" w:hAnsi="宋体" w:cs="宋体"/>
          <w:color w:val="auto"/>
          <w:kern w:val="2"/>
          <w:szCs w:val="21"/>
          <w:highlight w:val="none"/>
          <w:lang w:val="en-US" w:eastAsia="zh-CN"/>
        </w:rPr>
      </w:pPr>
      <w:r>
        <w:rPr>
          <w:rFonts w:hint="eastAsia" w:ascii="宋体" w:hAnsi="宋体" w:cs="宋体"/>
          <w:color w:val="auto"/>
          <w:kern w:val="2"/>
          <w:szCs w:val="21"/>
          <w:highlight w:val="none"/>
        </w:rPr>
        <w:t>202</w:t>
      </w:r>
      <w:r>
        <w:rPr>
          <w:rFonts w:hint="eastAsia" w:ascii="宋体" w:hAnsi="宋体" w:cs="宋体"/>
          <w:color w:val="auto"/>
          <w:kern w:val="2"/>
          <w:szCs w:val="21"/>
          <w:highlight w:val="none"/>
          <w:lang w:val="en-US" w:eastAsia="zh-CN"/>
        </w:rPr>
        <w:t>6</w:t>
      </w:r>
      <w:r>
        <w:rPr>
          <w:rFonts w:hint="eastAsia" w:ascii="宋体" w:hAnsi="宋体" w:cs="宋体"/>
          <w:color w:val="auto"/>
          <w:kern w:val="2"/>
          <w:szCs w:val="21"/>
          <w:highlight w:val="none"/>
        </w:rPr>
        <w:t>年</w:t>
      </w:r>
      <w:r>
        <w:rPr>
          <w:rFonts w:hint="eastAsia" w:ascii="宋体" w:hAnsi="宋体" w:cs="宋体"/>
          <w:color w:val="auto"/>
          <w:kern w:val="2"/>
          <w:szCs w:val="21"/>
          <w:highlight w:val="none"/>
          <w:lang w:val="en-US" w:eastAsia="zh-CN"/>
        </w:rPr>
        <w:t>6</w:t>
      </w:r>
      <w:r>
        <w:rPr>
          <w:rFonts w:hint="eastAsia" w:ascii="宋体" w:hAnsi="宋体" w:cs="宋体"/>
          <w:color w:val="auto"/>
          <w:kern w:val="2"/>
          <w:szCs w:val="21"/>
          <w:highlight w:val="none"/>
        </w:rPr>
        <w:t>月底前，</w:t>
      </w:r>
      <w:r>
        <w:rPr>
          <w:rFonts w:hint="eastAsia" w:ascii="宋体" w:hAnsi="宋体" w:cs="宋体"/>
          <w:color w:val="auto"/>
          <w:kern w:val="2"/>
          <w:szCs w:val="21"/>
          <w:highlight w:val="none"/>
          <w:lang w:eastAsia="zh-CN"/>
        </w:rPr>
        <w:t>提交</w:t>
      </w:r>
      <w:r>
        <w:rPr>
          <w:rFonts w:hint="eastAsia" w:ascii="宋体" w:hAnsi="宋体" w:cs="宋体"/>
          <w:color w:val="auto"/>
          <w:kern w:val="2"/>
          <w:szCs w:val="21"/>
          <w:highlight w:val="none"/>
        </w:rPr>
        <w:t>《</w:t>
      </w:r>
      <w:r>
        <w:rPr>
          <w:rFonts w:ascii="宋体" w:hAnsi="宋体" w:cs="宋体"/>
          <w:color w:val="auto"/>
          <w:kern w:val="2"/>
          <w:szCs w:val="21"/>
          <w:highlight w:val="none"/>
        </w:rPr>
        <w:t>大丰区</w:t>
      </w:r>
      <w:r>
        <w:rPr>
          <w:rFonts w:hint="eastAsia" w:ascii="宋体" w:hAnsi="宋体" w:cs="宋体"/>
          <w:color w:val="auto"/>
          <w:kern w:val="2"/>
          <w:szCs w:val="21"/>
          <w:highlight w:val="none"/>
        </w:rPr>
        <w:t>综合立体交通网规划》终稿。</w:t>
      </w:r>
    </w:p>
    <w:p w14:paraId="748E2461">
      <w:pPr>
        <w:adjustRightInd w:val="0"/>
        <w:snapToGrid w:val="0"/>
        <w:spacing w:line="500" w:lineRule="exact"/>
        <w:ind w:firstLine="420" w:firstLineChars="200"/>
        <w:jc w:val="left"/>
        <w:rPr>
          <w:rFonts w:hint="eastAsia" w:ascii="宋体" w:hAnsi="宋体" w:cs="宋体"/>
          <w:color w:val="auto"/>
          <w:kern w:val="2"/>
          <w:szCs w:val="21"/>
          <w:highlight w:val="none"/>
          <w:lang w:val="en-US" w:eastAsia="zh-CN"/>
        </w:rPr>
      </w:pPr>
      <w:r>
        <w:rPr>
          <w:rFonts w:hint="eastAsia" w:ascii="宋体" w:hAnsi="宋体" w:cs="宋体"/>
          <w:color w:val="auto"/>
          <w:kern w:val="2"/>
          <w:szCs w:val="21"/>
          <w:highlight w:val="none"/>
          <w:lang w:val="en-US" w:eastAsia="zh-CN"/>
        </w:rPr>
        <w:t>2028年1-6月，对</w:t>
      </w:r>
      <w:r>
        <w:rPr>
          <w:rFonts w:hint="eastAsia" w:ascii="宋体" w:hAnsi="宋体" w:cs="宋体"/>
          <w:color w:val="auto"/>
          <w:kern w:val="2"/>
          <w:szCs w:val="21"/>
          <w:highlight w:val="none"/>
        </w:rPr>
        <w:t>《大丰区</w:t>
      </w:r>
      <w:r>
        <w:rPr>
          <w:rFonts w:hint="eastAsia" w:ascii="宋体" w:hAnsi="宋体" w:cs="宋体"/>
          <w:color w:val="auto"/>
          <w:kern w:val="2"/>
          <w:szCs w:val="21"/>
          <w:highlight w:val="none"/>
          <w:lang w:eastAsia="zh-CN"/>
        </w:rPr>
        <w:t>“十五五”</w:t>
      </w:r>
      <w:r>
        <w:rPr>
          <w:rFonts w:hint="eastAsia" w:ascii="宋体" w:hAnsi="宋体" w:cs="宋体"/>
          <w:color w:val="auto"/>
          <w:kern w:val="2"/>
          <w:szCs w:val="21"/>
          <w:highlight w:val="none"/>
        </w:rPr>
        <w:t>综合</w:t>
      </w:r>
      <w:r>
        <w:rPr>
          <w:rFonts w:hint="eastAsia" w:ascii="宋体" w:hAnsi="宋体" w:cs="宋体"/>
          <w:color w:val="auto"/>
          <w:kern w:val="2"/>
          <w:szCs w:val="21"/>
          <w:highlight w:val="none"/>
          <w:lang w:eastAsia="zh-CN"/>
        </w:rPr>
        <w:t>交通运输发展规划</w:t>
      </w:r>
      <w:r>
        <w:rPr>
          <w:rFonts w:hint="eastAsia" w:ascii="宋体" w:hAnsi="宋体" w:cs="宋体"/>
          <w:color w:val="auto"/>
          <w:kern w:val="2"/>
          <w:szCs w:val="21"/>
          <w:highlight w:val="none"/>
        </w:rPr>
        <w:t>》</w:t>
      </w:r>
      <w:r>
        <w:rPr>
          <w:rFonts w:hint="eastAsia" w:ascii="宋体" w:hAnsi="宋体" w:cs="宋体"/>
          <w:color w:val="auto"/>
          <w:kern w:val="2"/>
          <w:szCs w:val="21"/>
          <w:highlight w:val="none"/>
          <w:lang w:val="en-US" w:eastAsia="zh-CN"/>
        </w:rPr>
        <w:t>执行情况进行中期评估，形成评估报告。</w:t>
      </w:r>
    </w:p>
    <w:p w14:paraId="1510C6A6">
      <w:pPr>
        <w:adjustRightInd w:val="0"/>
        <w:snapToGrid w:val="0"/>
        <w:spacing w:line="500" w:lineRule="exact"/>
        <w:ind w:firstLine="420" w:firstLineChars="200"/>
        <w:jc w:val="left"/>
        <w:rPr>
          <w:rFonts w:hint="eastAsia" w:ascii="宋体" w:hAnsi="宋体" w:eastAsia="宋体" w:cs="宋体"/>
          <w:color w:val="auto"/>
          <w:kern w:val="2"/>
          <w:szCs w:val="21"/>
          <w:highlight w:val="none"/>
          <w:lang w:val="en-US" w:eastAsia="zh-CN"/>
        </w:rPr>
      </w:pPr>
      <w:r>
        <w:rPr>
          <w:rFonts w:hint="eastAsia" w:ascii="宋体" w:hAnsi="宋体" w:cs="宋体"/>
          <w:color w:val="auto"/>
          <w:kern w:val="2"/>
          <w:szCs w:val="21"/>
          <w:highlight w:val="none"/>
          <w:lang w:val="en-US" w:eastAsia="zh-CN"/>
        </w:rPr>
        <w:t>2030年1-6月，对</w:t>
      </w:r>
      <w:r>
        <w:rPr>
          <w:rFonts w:hint="eastAsia" w:ascii="宋体" w:hAnsi="宋体" w:cs="宋体"/>
          <w:color w:val="auto"/>
          <w:kern w:val="2"/>
          <w:szCs w:val="21"/>
          <w:highlight w:val="none"/>
        </w:rPr>
        <w:t>《</w:t>
      </w:r>
      <w:r>
        <w:rPr>
          <w:rFonts w:ascii="宋体" w:hAnsi="宋体" w:cs="宋体"/>
          <w:color w:val="auto"/>
          <w:kern w:val="2"/>
          <w:szCs w:val="21"/>
          <w:highlight w:val="none"/>
        </w:rPr>
        <w:t>大丰区</w:t>
      </w:r>
      <w:r>
        <w:rPr>
          <w:rFonts w:hint="eastAsia" w:ascii="宋体" w:hAnsi="宋体" w:cs="宋体"/>
          <w:color w:val="auto"/>
          <w:kern w:val="2"/>
          <w:szCs w:val="21"/>
          <w:highlight w:val="none"/>
        </w:rPr>
        <w:t>综合立体交通网规划》</w:t>
      </w:r>
      <w:r>
        <w:rPr>
          <w:rFonts w:hint="eastAsia" w:ascii="宋体" w:hAnsi="宋体" w:cs="宋体"/>
          <w:color w:val="auto"/>
          <w:kern w:val="2"/>
          <w:szCs w:val="21"/>
          <w:highlight w:val="none"/>
          <w:lang w:val="en-US" w:eastAsia="zh-CN"/>
        </w:rPr>
        <w:t>执行情况进行中期评估，形成评估报告</w:t>
      </w:r>
      <w:r>
        <w:rPr>
          <w:rFonts w:hint="eastAsia" w:ascii="宋体" w:hAnsi="宋体" w:cs="宋体"/>
          <w:color w:val="auto"/>
          <w:kern w:val="2"/>
          <w:szCs w:val="21"/>
          <w:highlight w:val="none"/>
          <w:lang w:eastAsia="zh-CN"/>
        </w:rPr>
        <w:t>。</w:t>
      </w:r>
    </w:p>
    <w:p w14:paraId="1DC60045">
      <w:pPr>
        <w:tabs>
          <w:tab w:val="left" w:pos="2870"/>
        </w:tabs>
        <w:adjustRightInd w:val="0"/>
        <w:snapToGrid w:val="0"/>
        <w:spacing w:line="500" w:lineRule="exact"/>
        <w:ind w:firstLine="424"/>
        <w:rPr>
          <w:rFonts w:hint="eastAsia" w:ascii="宋体" w:hAnsi="宋体" w:cs="宋体"/>
          <w:b/>
          <w:bCs/>
          <w:color w:val="auto"/>
          <w:szCs w:val="21"/>
          <w:highlight w:val="none"/>
          <w:lang w:eastAsia="zh-CN"/>
        </w:rPr>
      </w:pPr>
      <w:r>
        <w:rPr>
          <w:rFonts w:hint="eastAsia" w:ascii="宋体" w:hAnsi="宋体" w:cs="宋体"/>
          <w:b/>
          <w:bCs/>
          <w:color w:val="auto"/>
          <w:szCs w:val="21"/>
          <w:highlight w:val="none"/>
        </w:rPr>
        <w:t>四、</w:t>
      </w:r>
      <w:r>
        <w:rPr>
          <w:rFonts w:hint="eastAsia" w:ascii="宋体" w:hAnsi="宋体" w:cs="宋体"/>
          <w:b/>
          <w:bCs/>
          <w:color w:val="auto"/>
          <w:szCs w:val="21"/>
          <w:highlight w:val="none"/>
          <w:lang w:eastAsia="zh-CN"/>
        </w:rPr>
        <w:t>服务期限</w:t>
      </w:r>
    </w:p>
    <w:p w14:paraId="06492896">
      <w:pPr>
        <w:adjustRightInd w:val="0"/>
        <w:snapToGrid w:val="0"/>
        <w:spacing w:line="500" w:lineRule="exact"/>
        <w:ind w:firstLine="420" w:firstLineChars="200"/>
        <w:jc w:val="left"/>
        <w:rPr>
          <w:rFonts w:hint="default" w:ascii="宋体" w:hAnsi="宋体" w:cs="宋体"/>
          <w:color w:val="auto"/>
          <w:kern w:val="2"/>
          <w:szCs w:val="21"/>
          <w:highlight w:val="none"/>
          <w:lang w:val="en-US" w:eastAsia="zh-CN"/>
        </w:rPr>
      </w:pPr>
      <w:r>
        <w:rPr>
          <w:rFonts w:hint="eastAsia" w:ascii="宋体" w:hAnsi="宋体" w:cs="宋体"/>
          <w:color w:val="auto"/>
          <w:szCs w:val="21"/>
          <w:highlight w:val="none"/>
          <w:shd w:val="clear" w:color="auto" w:fill="FFFFFF"/>
        </w:rPr>
        <w:t>规划编制服务期1年，后续服务期</w:t>
      </w:r>
      <w:r>
        <w:rPr>
          <w:rFonts w:hint="eastAsia" w:ascii="宋体" w:hAnsi="宋体" w:cs="宋体"/>
          <w:color w:val="auto"/>
          <w:szCs w:val="21"/>
          <w:highlight w:val="none"/>
          <w:shd w:val="clear" w:color="auto" w:fill="FFFFFF"/>
          <w:lang w:val="en-US" w:eastAsia="zh-CN"/>
        </w:rPr>
        <w:t>至2035年</w:t>
      </w:r>
      <w:r>
        <w:rPr>
          <w:rFonts w:hint="eastAsia" w:ascii="宋体" w:hAnsi="宋体" w:cs="宋体"/>
          <w:color w:val="auto"/>
          <w:kern w:val="2"/>
          <w:szCs w:val="21"/>
          <w:highlight w:val="none"/>
          <w:lang w:val="en-US" w:eastAsia="zh-CN"/>
        </w:rPr>
        <w:t>。</w:t>
      </w:r>
    </w:p>
    <w:p w14:paraId="21DB2AC8">
      <w:pPr>
        <w:tabs>
          <w:tab w:val="left" w:pos="2870"/>
        </w:tabs>
        <w:adjustRightInd w:val="0"/>
        <w:snapToGrid w:val="0"/>
        <w:spacing w:line="500" w:lineRule="exact"/>
        <w:ind w:firstLine="424"/>
        <w:rPr>
          <w:rFonts w:ascii="宋体" w:hAnsi="宋体" w:cs="宋体"/>
          <w:b/>
          <w:bCs/>
          <w:color w:val="auto"/>
          <w:szCs w:val="21"/>
          <w:highlight w:val="none"/>
        </w:rPr>
      </w:pPr>
      <w:r>
        <w:rPr>
          <w:rFonts w:hint="eastAsia" w:ascii="宋体" w:hAnsi="宋体" w:cs="宋体"/>
          <w:b/>
          <w:bCs/>
          <w:color w:val="auto"/>
          <w:szCs w:val="21"/>
          <w:highlight w:val="none"/>
          <w:lang w:eastAsia="zh-CN"/>
        </w:rPr>
        <w:t>五：</w:t>
      </w:r>
      <w:r>
        <w:rPr>
          <w:rFonts w:hint="eastAsia" w:ascii="宋体" w:hAnsi="宋体" w:cs="宋体"/>
          <w:b/>
          <w:bCs/>
          <w:color w:val="auto"/>
          <w:szCs w:val="21"/>
          <w:highlight w:val="none"/>
        </w:rPr>
        <w:t>研究成果要求</w:t>
      </w:r>
    </w:p>
    <w:p w14:paraId="0C352EC5">
      <w:pPr>
        <w:adjustRightInd w:val="0"/>
        <w:snapToGrid w:val="0"/>
        <w:spacing w:line="500" w:lineRule="exact"/>
        <w:ind w:firstLine="480"/>
        <w:rPr>
          <w:rFonts w:ascii="宋体" w:hAnsi="宋体" w:cs="宋体"/>
          <w:color w:val="auto"/>
          <w:szCs w:val="21"/>
          <w:highlight w:val="none"/>
        </w:rPr>
      </w:pPr>
      <w:r>
        <w:rPr>
          <w:rFonts w:hint="eastAsia" w:ascii="宋体" w:hAnsi="宋体" w:cs="宋体"/>
          <w:color w:val="auto"/>
          <w:szCs w:val="21"/>
          <w:highlight w:val="none"/>
        </w:rPr>
        <w:t>1.研究成果</w:t>
      </w:r>
      <w:r>
        <w:rPr>
          <w:rFonts w:hint="eastAsia" w:ascii="宋体" w:hAnsi="宋体" w:cs="宋体"/>
          <w:bCs/>
          <w:color w:val="auto"/>
          <w:szCs w:val="21"/>
          <w:highlight w:val="none"/>
        </w:rPr>
        <w:t>包括不限于研究</w:t>
      </w:r>
      <w:r>
        <w:rPr>
          <w:rFonts w:hint="eastAsia" w:ascii="宋体" w:hAnsi="宋体" w:cs="宋体"/>
          <w:color w:val="auto"/>
          <w:szCs w:val="21"/>
          <w:highlight w:val="none"/>
        </w:rPr>
        <w:t>报告、相关附图以及汇报PPT。</w:t>
      </w:r>
    </w:p>
    <w:p w14:paraId="5931E086">
      <w:pPr>
        <w:adjustRightInd w:val="0"/>
        <w:snapToGrid w:val="0"/>
        <w:spacing w:line="500" w:lineRule="exact"/>
        <w:ind w:firstLine="480"/>
        <w:rPr>
          <w:rFonts w:ascii="宋体" w:hAnsi="宋体" w:cs="宋体"/>
          <w:color w:val="auto"/>
          <w:szCs w:val="21"/>
          <w:highlight w:val="none"/>
        </w:rPr>
      </w:pPr>
      <w:r>
        <w:rPr>
          <w:rFonts w:hint="eastAsia" w:ascii="宋体" w:hAnsi="宋体" w:cs="宋体"/>
          <w:color w:val="auto"/>
          <w:szCs w:val="21"/>
          <w:highlight w:val="none"/>
        </w:rPr>
        <w:t>2.研究成果符合国家有关部门的法律法规、规章标准、规范规程以及合同要求。</w:t>
      </w:r>
    </w:p>
    <w:p w14:paraId="435EEE45">
      <w:pPr>
        <w:adjustRightInd w:val="0"/>
        <w:snapToGrid w:val="0"/>
        <w:spacing w:line="500" w:lineRule="exact"/>
        <w:ind w:firstLine="480"/>
        <w:rPr>
          <w:rFonts w:ascii="宋体" w:hAnsi="宋体" w:cs="宋体"/>
          <w:color w:val="auto"/>
          <w:szCs w:val="21"/>
          <w:highlight w:val="none"/>
        </w:rPr>
      </w:pPr>
      <w:r>
        <w:rPr>
          <w:rFonts w:hint="eastAsia" w:ascii="宋体" w:hAnsi="宋体" w:cs="宋体"/>
          <w:color w:val="auto"/>
          <w:szCs w:val="21"/>
          <w:highlight w:val="none"/>
        </w:rPr>
        <w:t>3.搜集的基础资料需尽可能完整、准确、可靠，论证充分，结论科学合理。</w:t>
      </w:r>
    </w:p>
    <w:p w14:paraId="156348DB">
      <w:pPr>
        <w:adjustRightInd w:val="0"/>
        <w:snapToGrid w:val="0"/>
        <w:spacing w:line="500" w:lineRule="exact"/>
        <w:ind w:firstLine="480"/>
        <w:rPr>
          <w:rFonts w:ascii="宋体" w:hAnsi="宋体" w:cs="宋体"/>
          <w:color w:val="auto"/>
          <w:szCs w:val="21"/>
          <w:highlight w:val="none"/>
        </w:rPr>
      </w:pPr>
      <w:r>
        <w:rPr>
          <w:rFonts w:hint="eastAsia" w:ascii="宋体" w:hAnsi="宋体" w:cs="宋体"/>
          <w:color w:val="auto"/>
          <w:szCs w:val="21"/>
          <w:highlight w:val="none"/>
        </w:rPr>
        <w:t>4.研究成果保证质量，成果在国内同类规划研究中处于领先水平。</w:t>
      </w:r>
    </w:p>
    <w:p w14:paraId="3DE2D47B">
      <w:pPr>
        <w:adjustRightInd w:val="0"/>
        <w:snapToGrid w:val="0"/>
        <w:spacing w:line="500" w:lineRule="exact"/>
        <w:ind w:firstLine="480"/>
        <w:rPr>
          <w:rFonts w:ascii="宋体" w:hAnsi="宋体" w:cs="宋体"/>
          <w:color w:val="auto"/>
          <w:szCs w:val="21"/>
          <w:highlight w:val="none"/>
        </w:rPr>
      </w:pPr>
      <w:r>
        <w:rPr>
          <w:rFonts w:hint="eastAsia" w:ascii="宋体" w:hAnsi="宋体" w:cs="宋体"/>
          <w:color w:val="auto"/>
          <w:szCs w:val="21"/>
          <w:highlight w:val="none"/>
        </w:rPr>
        <w:t>5.研究成果包括纸质文件、相应的计算机文件。</w:t>
      </w:r>
    </w:p>
    <w:p w14:paraId="098A5069">
      <w:pPr>
        <w:adjustRightInd w:val="0"/>
        <w:snapToGrid w:val="0"/>
        <w:spacing w:line="500" w:lineRule="exact"/>
        <w:ind w:firstLine="480"/>
        <w:rPr>
          <w:rFonts w:ascii="宋体" w:hAnsi="宋体" w:cs="宋体"/>
          <w:color w:val="auto"/>
          <w:szCs w:val="21"/>
          <w:highlight w:val="none"/>
        </w:rPr>
      </w:pPr>
      <w:r>
        <w:rPr>
          <w:rFonts w:hint="eastAsia" w:ascii="宋体" w:hAnsi="宋体" w:cs="宋体"/>
          <w:color w:val="auto"/>
          <w:szCs w:val="21"/>
          <w:highlight w:val="none"/>
        </w:rPr>
        <w:t>6.纸质文件包括文本、图、表等；内容清晰、完整、全面；编制单位按要求提供编制文本。</w:t>
      </w:r>
    </w:p>
    <w:p w14:paraId="6178D7AD">
      <w:pPr>
        <w:adjustRightInd w:val="0"/>
        <w:snapToGrid w:val="0"/>
        <w:spacing w:line="500" w:lineRule="exact"/>
        <w:ind w:firstLine="480"/>
        <w:rPr>
          <w:rFonts w:ascii="宋体" w:hAnsi="宋体" w:cs="宋体"/>
          <w:color w:val="auto"/>
          <w:szCs w:val="21"/>
          <w:highlight w:val="none"/>
        </w:rPr>
      </w:pPr>
      <w:r>
        <w:rPr>
          <w:rFonts w:hint="eastAsia" w:ascii="宋体" w:hAnsi="宋体" w:cs="宋体"/>
          <w:color w:val="auto"/>
          <w:szCs w:val="21"/>
          <w:highlight w:val="none"/>
        </w:rPr>
        <w:t>7.计算机文件要求：全部研究成果均应制作计算机文件，汇报采用PPT格式，图形文件采用JPG等通用格式，文本文件采用Microsoftword6.0以上格式文件；电脑渲染图计算机文件采用国内较为普及、通用计算机软件，提交以上计算机文件光盘1套。</w:t>
      </w:r>
      <w:bookmarkStart w:id="86" w:name="_Toc20570"/>
      <w:bookmarkEnd w:id="86"/>
      <w:bookmarkStart w:id="87" w:name="_Toc19940"/>
      <w:bookmarkEnd w:id="87"/>
      <w:bookmarkStart w:id="88" w:name="_Toc96593892"/>
      <w:bookmarkEnd w:id="88"/>
      <w:bookmarkStart w:id="89" w:name="_Toc12281514"/>
      <w:bookmarkEnd w:id="89"/>
    </w:p>
    <w:p w14:paraId="652B947D">
      <w:pPr>
        <w:tabs>
          <w:tab w:val="left" w:pos="2870"/>
        </w:tabs>
        <w:adjustRightInd w:val="0"/>
        <w:snapToGrid w:val="0"/>
        <w:spacing w:line="500" w:lineRule="exact"/>
        <w:ind w:firstLine="424"/>
        <w:rPr>
          <w:rFonts w:ascii="宋体" w:hAnsi="宋体" w:cs="宋体"/>
          <w:b/>
          <w:bCs/>
          <w:color w:val="auto"/>
          <w:szCs w:val="21"/>
          <w:highlight w:val="none"/>
        </w:rPr>
      </w:pPr>
      <w:r>
        <w:rPr>
          <w:rFonts w:hint="eastAsia" w:ascii="宋体" w:hAnsi="宋体" w:cs="宋体"/>
          <w:b/>
          <w:bCs/>
          <w:color w:val="auto"/>
          <w:szCs w:val="21"/>
          <w:highlight w:val="none"/>
          <w:lang w:eastAsia="zh-CN"/>
        </w:rPr>
        <w:t>六</w:t>
      </w:r>
      <w:r>
        <w:rPr>
          <w:rFonts w:hint="eastAsia" w:ascii="宋体" w:hAnsi="宋体" w:cs="宋体"/>
          <w:b/>
          <w:bCs/>
          <w:color w:val="auto"/>
          <w:szCs w:val="21"/>
          <w:highlight w:val="none"/>
        </w:rPr>
        <w:t>、综合说明</w:t>
      </w:r>
    </w:p>
    <w:p w14:paraId="09D41750">
      <w:pPr>
        <w:adjustRightInd w:val="0"/>
        <w:snapToGrid w:val="0"/>
        <w:spacing w:line="500" w:lineRule="exact"/>
        <w:ind w:firstLine="480"/>
        <w:rPr>
          <w:rFonts w:ascii="宋体" w:hAnsi="宋体" w:cs="宋体"/>
          <w:color w:val="auto"/>
          <w:szCs w:val="21"/>
          <w:highlight w:val="none"/>
        </w:rPr>
      </w:pPr>
      <w:r>
        <w:rPr>
          <w:rFonts w:hint="eastAsia" w:ascii="宋体" w:hAnsi="宋体" w:cs="宋体"/>
          <w:color w:val="auto"/>
          <w:szCs w:val="21"/>
          <w:highlight w:val="none"/>
        </w:rPr>
        <w:t>1.投标人必须说明其是否响应采购文件中提出的全部服务内容与要求，如果对其中某些条款不响应时，应在文件中逐条列出，未列出的视同响应。</w:t>
      </w:r>
    </w:p>
    <w:p w14:paraId="0F6CF054">
      <w:pPr>
        <w:adjustRightInd w:val="0"/>
        <w:snapToGrid w:val="0"/>
        <w:spacing w:line="500" w:lineRule="exact"/>
        <w:ind w:firstLine="480"/>
        <w:rPr>
          <w:rFonts w:ascii="宋体" w:hAnsi="宋体" w:cs="宋体"/>
          <w:color w:val="auto"/>
          <w:szCs w:val="21"/>
          <w:highlight w:val="none"/>
        </w:rPr>
      </w:pPr>
      <w:r>
        <w:rPr>
          <w:rFonts w:hint="eastAsia" w:ascii="宋体" w:hAnsi="宋体" w:cs="宋体"/>
          <w:color w:val="auto"/>
          <w:szCs w:val="21"/>
          <w:highlight w:val="none"/>
        </w:rPr>
        <w:t>2.本次采购活动不接受联合报价及分包、转包。</w:t>
      </w:r>
    </w:p>
    <w:p w14:paraId="407CD81D">
      <w:pPr>
        <w:adjustRightInd w:val="0"/>
        <w:snapToGrid w:val="0"/>
        <w:spacing w:line="500" w:lineRule="exact"/>
        <w:ind w:firstLine="480"/>
        <w:rPr>
          <w:rFonts w:ascii="宋体" w:hAnsi="宋体" w:cs="宋体"/>
          <w:color w:val="auto"/>
          <w:szCs w:val="21"/>
          <w:highlight w:val="none"/>
        </w:rPr>
      </w:pPr>
      <w:r>
        <w:rPr>
          <w:rFonts w:hint="eastAsia" w:ascii="宋体" w:hAnsi="宋体" w:cs="宋体"/>
          <w:color w:val="auto"/>
          <w:szCs w:val="21"/>
          <w:highlight w:val="none"/>
        </w:rPr>
        <w:t>3.对采购文件中提出的全部技术规范要求及服务要求做出承诺，如果以其中某些条款不响应时，应在响应文件中逐条列出，未列出的视同响应。</w:t>
      </w:r>
    </w:p>
    <w:p w14:paraId="535A79B3">
      <w:pPr>
        <w:adjustRightInd w:val="0"/>
        <w:snapToGrid w:val="0"/>
        <w:spacing w:line="500" w:lineRule="exact"/>
        <w:ind w:firstLine="480"/>
        <w:rPr>
          <w:rFonts w:ascii="宋体" w:hAnsi="宋体" w:cs="宋体"/>
          <w:color w:val="auto"/>
          <w:szCs w:val="21"/>
          <w:highlight w:val="none"/>
        </w:rPr>
      </w:pPr>
      <w:r>
        <w:rPr>
          <w:rFonts w:hint="eastAsia" w:ascii="宋体" w:hAnsi="宋体" w:cs="宋体"/>
          <w:color w:val="auto"/>
          <w:szCs w:val="21"/>
          <w:highlight w:val="none"/>
        </w:rPr>
        <w:t>4.投标人须按照本采购文件的要求对该采购项目进行服务工作。</w:t>
      </w:r>
    </w:p>
    <w:p w14:paraId="3E5D7B40">
      <w:pPr>
        <w:adjustRightInd w:val="0"/>
        <w:snapToGrid w:val="0"/>
        <w:spacing w:line="500" w:lineRule="exact"/>
        <w:ind w:firstLine="480"/>
        <w:rPr>
          <w:rFonts w:ascii="宋体" w:hAnsi="宋体" w:cs="宋体"/>
          <w:color w:val="auto"/>
          <w:szCs w:val="21"/>
          <w:highlight w:val="none"/>
        </w:rPr>
      </w:pPr>
      <w:r>
        <w:rPr>
          <w:rFonts w:hint="eastAsia" w:ascii="宋体" w:hAnsi="宋体" w:cs="宋体"/>
          <w:color w:val="auto"/>
          <w:szCs w:val="21"/>
          <w:highlight w:val="none"/>
        </w:rPr>
        <w:t>5.投标人有责任配合采购人接受上级领导部门的监督、检查，提供必须的资料。</w:t>
      </w:r>
    </w:p>
    <w:p w14:paraId="3B4796D0">
      <w:pPr>
        <w:adjustRightInd w:val="0"/>
        <w:snapToGrid w:val="0"/>
        <w:spacing w:line="500" w:lineRule="exact"/>
        <w:ind w:firstLine="480"/>
        <w:rPr>
          <w:rFonts w:ascii="宋体" w:hAnsi="宋体" w:cs="宋体"/>
          <w:color w:val="auto"/>
          <w:szCs w:val="21"/>
          <w:highlight w:val="none"/>
        </w:rPr>
      </w:pPr>
      <w:r>
        <w:rPr>
          <w:rFonts w:hint="eastAsia" w:ascii="宋体" w:hAnsi="宋体" w:cs="宋体"/>
          <w:color w:val="auto"/>
          <w:szCs w:val="21"/>
          <w:highlight w:val="none"/>
        </w:rPr>
        <w:t>6.投标人确定的项目负责人应当具有与课题相关的研究经历和经验、能够独立开展和组织科研工作。课题组必须保证固定的研究团队和充足的研究调研时间。</w:t>
      </w:r>
    </w:p>
    <w:p w14:paraId="32AA21F6">
      <w:pPr>
        <w:adjustRightInd w:val="0"/>
        <w:snapToGrid w:val="0"/>
        <w:spacing w:line="500" w:lineRule="exact"/>
        <w:ind w:firstLine="480"/>
        <w:rPr>
          <w:rFonts w:ascii="宋体" w:hAnsi="宋体" w:cs="宋体"/>
          <w:color w:val="auto"/>
          <w:szCs w:val="21"/>
          <w:highlight w:val="none"/>
        </w:rPr>
      </w:pPr>
      <w:r>
        <w:rPr>
          <w:rFonts w:hint="eastAsia" w:ascii="宋体" w:hAnsi="宋体" w:cs="宋体"/>
          <w:color w:val="auto"/>
          <w:szCs w:val="21"/>
          <w:highlight w:val="none"/>
        </w:rPr>
        <w:t>7.投标人应能保证所提供服务涉及到的知识产权是合法取得，并享有完整的知识产权，不会因为采购人的使用而被责令停止使用、追偿或要求赔偿损失，如出现此情况，一切经济和法律责任均由投标人承担。</w:t>
      </w:r>
    </w:p>
    <w:p w14:paraId="1D6BA6AE">
      <w:pPr>
        <w:adjustRightInd w:val="0"/>
        <w:snapToGrid w:val="0"/>
        <w:spacing w:line="500" w:lineRule="exact"/>
        <w:ind w:firstLine="480"/>
        <w:rPr>
          <w:rFonts w:ascii="宋体" w:hAnsi="宋体" w:cs="宋体"/>
          <w:color w:val="auto"/>
          <w:szCs w:val="21"/>
          <w:highlight w:val="none"/>
        </w:rPr>
      </w:pPr>
      <w:r>
        <w:rPr>
          <w:rFonts w:hint="eastAsia" w:ascii="宋体" w:hAnsi="宋体" w:cs="宋体"/>
          <w:color w:val="auto"/>
          <w:szCs w:val="21"/>
          <w:highlight w:val="none"/>
        </w:rPr>
        <w:t>8.投标人应保证采购人在使用该产品或其任何一部分时不受到第三方关于侵犯专利权、商标权或工业设计权的指控，且投标人承担由于采购人在使用所有或任何一部分产品时引起第三方提出的侵犯专利权、商标权或工业设计权诉讼、行动、行政程序索赔等所致的损失、损害、费用和支出（包括律师费）。如采购人因此而遭致损失，投标人应赔偿该损失。</w:t>
      </w:r>
    </w:p>
    <w:p w14:paraId="5833BB88">
      <w:pPr>
        <w:adjustRightInd w:val="0"/>
        <w:snapToGrid w:val="0"/>
        <w:spacing w:line="500" w:lineRule="exact"/>
        <w:ind w:firstLine="480"/>
        <w:rPr>
          <w:rFonts w:ascii="宋体" w:hAnsi="宋体" w:cs="宋体"/>
          <w:bCs/>
          <w:color w:val="auto"/>
          <w:szCs w:val="21"/>
          <w:highlight w:val="none"/>
        </w:rPr>
      </w:pPr>
      <w:r>
        <w:rPr>
          <w:rFonts w:hint="eastAsia" w:ascii="宋体" w:hAnsi="宋体" w:cs="宋体"/>
          <w:bCs/>
          <w:color w:val="auto"/>
          <w:szCs w:val="21"/>
          <w:highlight w:val="none"/>
        </w:rPr>
        <w:t>9.投标人需严格按照采购人要求实施项目，并对采购人提出的需求及时响应，如有工作进度缓慢、项目成果屡次不符合要求（两次以上）、不能按时完成任务、不遵守工作纪律等情况，采购人有权要求投标人进行及时整改，情节严重的，将予以罚款。</w:t>
      </w:r>
    </w:p>
    <w:p w14:paraId="56C36FF9">
      <w:pPr>
        <w:adjustRightInd w:val="0"/>
        <w:snapToGrid w:val="0"/>
        <w:spacing w:line="500" w:lineRule="exact"/>
        <w:ind w:firstLine="480"/>
        <w:rPr>
          <w:rFonts w:ascii="宋体" w:hAnsi="宋体" w:cs="宋体"/>
          <w:bCs/>
          <w:color w:val="auto"/>
          <w:szCs w:val="21"/>
          <w:highlight w:val="none"/>
        </w:rPr>
      </w:pPr>
      <w:r>
        <w:rPr>
          <w:rFonts w:hint="eastAsia" w:ascii="宋体" w:hAnsi="宋体" w:cs="宋体"/>
          <w:bCs/>
          <w:color w:val="auto"/>
          <w:szCs w:val="21"/>
          <w:highlight w:val="none"/>
        </w:rPr>
        <w:t>10.本项目在实施周期内开展技术支持的过程中，发生的人工成本（包括培训费用、设备费用以及相关差旅费用）由投标人承担。</w:t>
      </w:r>
    </w:p>
    <w:p w14:paraId="4F999AC0">
      <w:pPr>
        <w:adjustRightInd w:val="0"/>
        <w:snapToGrid w:val="0"/>
        <w:spacing w:line="500" w:lineRule="exact"/>
        <w:ind w:firstLine="480"/>
        <w:rPr>
          <w:rFonts w:ascii="宋体" w:hAnsi="宋体" w:cs="宋体"/>
          <w:bCs/>
          <w:color w:val="auto"/>
          <w:szCs w:val="21"/>
          <w:highlight w:val="none"/>
        </w:rPr>
      </w:pPr>
      <w:r>
        <w:rPr>
          <w:rFonts w:hint="eastAsia" w:ascii="宋体" w:hAnsi="宋体" w:cs="宋体"/>
          <w:bCs/>
          <w:color w:val="auto"/>
          <w:szCs w:val="21"/>
          <w:highlight w:val="none"/>
        </w:rPr>
        <w:t>11.投标人负责对采购人所提供资料及最终成果的保密，投标人及投标人工作人员需遵守采购人的保密规定，不以任何形式将收集的所有资料、数据等进行泄漏、传播；以上保密规定如有违反，采购人有权追究投标人相关法律责任。</w:t>
      </w:r>
    </w:p>
    <w:p w14:paraId="6BBFBC6A">
      <w:pPr>
        <w:adjustRightInd w:val="0"/>
        <w:snapToGrid w:val="0"/>
        <w:spacing w:line="500" w:lineRule="exact"/>
        <w:ind w:firstLine="480"/>
        <w:rPr>
          <w:rFonts w:ascii="宋体" w:hAnsi="宋体" w:cs="宋体"/>
          <w:bCs/>
          <w:color w:val="auto"/>
          <w:sz w:val="24"/>
          <w:highlight w:val="none"/>
        </w:rPr>
      </w:pPr>
      <w:r>
        <w:rPr>
          <w:rFonts w:hint="eastAsia" w:ascii="宋体" w:hAnsi="宋体" w:cs="宋体"/>
          <w:bCs/>
          <w:color w:val="auto"/>
          <w:szCs w:val="21"/>
          <w:highlight w:val="none"/>
        </w:rPr>
        <w:t>12.项目成果最终所有权属采购人，在项目完成时投标人必须全部移交。</w:t>
      </w:r>
    </w:p>
    <w:p w14:paraId="1B7F779A">
      <w:pPr>
        <w:tabs>
          <w:tab w:val="left" w:pos="2870"/>
        </w:tabs>
        <w:adjustRightInd w:val="0"/>
        <w:snapToGrid w:val="0"/>
        <w:spacing w:line="500" w:lineRule="exact"/>
        <w:ind w:firstLine="424"/>
        <w:rPr>
          <w:rFonts w:ascii="宋体" w:hAnsi="宋体" w:cs="宋体"/>
          <w:b/>
          <w:bCs/>
          <w:color w:val="auto"/>
          <w:szCs w:val="21"/>
          <w:highlight w:val="none"/>
        </w:rPr>
      </w:pPr>
      <w:r>
        <w:rPr>
          <w:rFonts w:hint="eastAsia" w:ascii="宋体" w:hAnsi="宋体" w:cs="宋体"/>
          <w:b/>
          <w:bCs/>
          <w:color w:val="auto"/>
          <w:szCs w:val="21"/>
          <w:highlight w:val="none"/>
          <w:lang w:eastAsia="zh-CN"/>
        </w:rPr>
        <w:t>七</w:t>
      </w:r>
      <w:r>
        <w:rPr>
          <w:rFonts w:hint="eastAsia" w:ascii="宋体" w:hAnsi="宋体" w:cs="宋体"/>
          <w:b/>
          <w:bCs/>
          <w:color w:val="auto"/>
          <w:szCs w:val="21"/>
          <w:highlight w:val="none"/>
        </w:rPr>
        <w:t>、服务要求</w:t>
      </w:r>
    </w:p>
    <w:p w14:paraId="22E2727B">
      <w:pPr>
        <w:spacing w:line="500" w:lineRule="exact"/>
        <w:ind w:firstLine="420" w:firstLineChars="200"/>
        <w:jc w:val="left"/>
        <w:rPr>
          <w:rFonts w:ascii="宋体" w:hAnsi="宋体" w:cs="宋体"/>
          <w:color w:val="auto"/>
          <w:kern w:val="2"/>
          <w:szCs w:val="21"/>
          <w:highlight w:val="none"/>
        </w:rPr>
      </w:pPr>
      <w:r>
        <w:rPr>
          <w:rFonts w:hint="eastAsia" w:ascii="宋体" w:hAnsi="宋体" w:cs="宋体"/>
          <w:color w:val="auto"/>
          <w:kern w:val="2"/>
          <w:szCs w:val="21"/>
          <w:highlight w:val="none"/>
        </w:rPr>
        <w:t>1.保密要求：对项目的原始资料和成果材料未经采购单位允许，禁止外传。</w:t>
      </w:r>
    </w:p>
    <w:p w14:paraId="360964B1">
      <w:pPr>
        <w:spacing w:line="500" w:lineRule="exact"/>
        <w:ind w:firstLine="420" w:firstLineChars="200"/>
        <w:jc w:val="left"/>
        <w:rPr>
          <w:rFonts w:ascii="宋体" w:hAnsi="宋体" w:cs="宋体"/>
          <w:color w:val="auto"/>
          <w:kern w:val="2"/>
          <w:szCs w:val="21"/>
          <w:highlight w:val="none"/>
        </w:rPr>
      </w:pPr>
      <w:r>
        <w:rPr>
          <w:rFonts w:hint="eastAsia" w:ascii="宋体" w:hAnsi="宋体" w:cs="宋体"/>
          <w:color w:val="auto"/>
          <w:kern w:val="2"/>
          <w:szCs w:val="21"/>
          <w:highlight w:val="none"/>
        </w:rPr>
        <w:t>2.成果编制要求：按照国家及省有关技术规范的要求编制规划方案，研究成果需符合实际情况，编制完成的成果材料应满足相关验收要求。</w:t>
      </w:r>
    </w:p>
    <w:p w14:paraId="078942D3">
      <w:pPr>
        <w:spacing w:line="500" w:lineRule="exact"/>
        <w:ind w:firstLine="420" w:firstLineChars="200"/>
        <w:jc w:val="left"/>
        <w:rPr>
          <w:rFonts w:ascii="宋体" w:hAnsi="宋体" w:cs="宋体"/>
          <w:color w:val="auto"/>
          <w:kern w:val="2"/>
          <w:szCs w:val="21"/>
          <w:highlight w:val="none"/>
        </w:rPr>
      </w:pPr>
      <w:r>
        <w:rPr>
          <w:rFonts w:hint="eastAsia" w:ascii="宋体" w:hAnsi="宋体" w:cs="宋体"/>
          <w:color w:val="auto"/>
          <w:kern w:val="2"/>
          <w:szCs w:val="21"/>
          <w:highlight w:val="none"/>
        </w:rPr>
        <w:t>3.其他要求：项目实施期间所发生的任何安全事故及违规违法行为一律由中标单位负责，采购人不承担任何责任。</w:t>
      </w:r>
    </w:p>
    <w:p w14:paraId="2BEA55AB">
      <w:pPr>
        <w:spacing w:line="500" w:lineRule="exact"/>
        <w:ind w:firstLine="422" w:firstLineChars="200"/>
        <w:jc w:val="left"/>
        <w:outlineLvl w:val="0"/>
        <w:rPr>
          <w:rFonts w:ascii="宋体" w:hAnsi="宋体" w:cs="宋体"/>
          <w:b/>
          <w:color w:val="auto"/>
          <w:kern w:val="2"/>
          <w:szCs w:val="21"/>
          <w:highlight w:val="none"/>
        </w:rPr>
      </w:pPr>
      <w:r>
        <w:rPr>
          <w:rFonts w:hint="eastAsia" w:ascii="宋体" w:hAnsi="宋体" w:cs="宋体"/>
          <w:b/>
          <w:color w:val="auto"/>
          <w:kern w:val="2"/>
          <w:szCs w:val="21"/>
          <w:highlight w:val="none"/>
          <w:lang w:eastAsia="zh-CN"/>
        </w:rPr>
        <w:t>八</w:t>
      </w:r>
      <w:r>
        <w:rPr>
          <w:rFonts w:hint="eastAsia" w:ascii="宋体" w:hAnsi="宋体" w:cs="宋体"/>
          <w:b/>
          <w:color w:val="auto"/>
          <w:kern w:val="2"/>
          <w:szCs w:val="21"/>
          <w:highlight w:val="none"/>
        </w:rPr>
        <w:t>、拟派项目组成员最低配置要求</w:t>
      </w:r>
    </w:p>
    <w:tbl>
      <w:tblPr>
        <w:tblStyle w:val="32"/>
        <w:tblW w:w="917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552"/>
        <w:gridCol w:w="2521"/>
        <w:gridCol w:w="4106"/>
      </w:tblGrid>
      <w:tr w14:paraId="318F22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2552" w:type="dxa"/>
            <w:noWrap/>
            <w:vAlign w:val="center"/>
          </w:tcPr>
          <w:p w14:paraId="7564269C">
            <w:pPr>
              <w:spacing w:line="240" w:lineRule="auto"/>
              <w:jc w:val="center"/>
              <w:rPr>
                <w:rFonts w:ascii="宋体" w:hAnsi="宋体" w:cs="宋体"/>
                <w:color w:val="auto"/>
                <w:kern w:val="2"/>
                <w:szCs w:val="21"/>
                <w:highlight w:val="none"/>
              </w:rPr>
            </w:pPr>
            <w:r>
              <w:rPr>
                <w:rFonts w:hint="eastAsia" w:ascii="宋体" w:hAnsi="宋体" w:cs="宋体"/>
                <w:b/>
                <w:color w:val="auto"/>
                <w:szCs w:val="21"/>
                <w:highlight w:val="none"/>
              </w:rPr>
              <w:br w:type="page"/>
            </w:r>
            <w:r>
              <w:rPr>
                <w:rFonts w:hint="eastAsia" w:ascii="宋体" w:hAnsi="宋体" w:cs="宋体"/>
                <w:color w:val="auto"/>
                <w:kern w:val="2"/>
                <w:szCs w:val="21"/>
                <w:highlight w:val="none"/>
              </w:rPr>
              <w:t>拟任岗位</w:t>
            </w:r>
          </w:p>
        </w:tc>
        <w:tc>
          <w:tcPr>
            <w:tcW w:w="2521" w:type="dxa"/>
            <w:noWrap/>
            <w:vAlign w:val="center"/>
          </w:tcPr>
          <w:p w14:paraId="178C1F12">
            <w:pPr>
              <w:spacing w:line="240" w:lineRule="auto"/>
              <w:jc w:val="center"/>
              <w:rPr>
                <w:rFonts w:ascii="宋体" w:hAnsi="宋体" w:cs="宋体"/>
                <w:color w:val="auto"/>
                <w:kern w:val="2"/>
                <w:szCs w:val="21"/>
                <w:highlight w:val="none"/>
              </w:rPr>
            </w:pPr>
            <w:r>
              <w:rPr>
                <w:rFonts w:hint="eastAsia" w:ascii="宋体" w:hAnsi="宋体" w:cs="宋体"/>
                <w:color w:val="auto"/>
                <w:kern w:val="2"/>
                <w:szCs w:val="21"/>
                <w:highlight w:val="none"/>
              </w:rPr>
              <w:t>数量</w:t>
            </w:r>
          </w:p>
        </w:tc>
        <w:tc>
          <w:tcPr>
            <w:tcW w:w="4106" w:type="dxa"/>
            <w:noWrap/>
            <w:vAlign w:val="center"/>
          </w:tcPr>
          <w:p w14:paraId="6E0A4A8B">
            <w:pPr>
              <w:spacing w:line="240" w:lineRule="auto"/>
              <w:jc w:val="center"/>
              <w:rPr>
                <w:rFonts w:ascii="宋体" w:hAnsi="宋体" w:cs="宋体"/>
                <w:color w:val="auto"/>
                <w:kern w:val="2"/>
                <w:szCs w:val="21"/>
                <w:highlight w:val="none"/>
              </w:rPr>
            </w:pPr>
            <w:r>
              <w:rPr>
                <w:rFonts w:hint="eastAsia" w:ascii="宋体" w:hAnsi="宋体" w:cs="宋体"/>
                <w:color w:val="auto"/>
                <w:kern w:val="2"/>
                <w:szCs w:val="21"/>
                <w:highlight w:val="none"/>
              </w:rPr>
              <w:t>备注</w:t>
            </w:r>
          </w:p>
        </w:tc>
      </w:tr>
      <w:tr w14:paraId="4E008E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2552" w:type="dxa"/>
            <w:noWrap/>
            <w:vAlign w:val="center"/>
          </w:tcPr>
          <w:p w14:paraId="69CF92ED">
            <w:pPr>
              <w:spacing w:line="240" w:lineRule="auto"/>
              <w:jc w:val="center"/>
              <w:rPr>
                <w:rFonts w:ascii="宋体" w:hAnsi="宋体" w:cs="宋体"/>
                <w:color w:val="auto"/>
                <w:kern w:val="2"/>
                <w:szCs w:val="21"/>
                <w:highlight w:val="none"/>
              </w:rPr>
            </w:pPr>
            <w:r>
              <w:rPr>
                <w:rFonts w:hint="eastAsia" w:ascii="宋体" w:hAnsi="宋体" w:cs="宋体"/>
                <w:color w:val="auto"/>
                <w:kern w:val="2"/>
                <w:szCs w:val="21"/>
                <w:highlight w:val="none"/>
              </w:rPr>
              <w:t>项目负责人</w:t>
            </w:r>
          </w:p>
        </w:tc>
        <w:tc>
          <w:tcPr>
            <w:tcW w:w="2521" w:type="dxa"/>
            <w:noWrap/>
            <w:vAlign w:val="center"/>
          </w:tcPr>
          <w:p w14:paraId="5BB770C5">
            <w:pPr>
              <w:spacing w:line="240" w:lineRule="auto"/>
              <w:jc w:val="center"/>
              <w:rPr>
                <w:rFonts w:ascii="宋体" w:hAnsi="宋体" w:cs="宋体"/>
                <w:color w:val="auto"/>
                <w:kern w:val="2"/>
                <w:szCs w:val="21"/>
                <w:highlight w:val="none"/>
              </w:rPr>
            </w:pPr>
            <w:r>
              <w:rPr>
                <w:rFonts w:hint="eastAsia" w:ascii="宋体" w:hAnsi="宋体" w:cs="宋体"/>
                <w:color w:val="auto"/>
                <w:kern w:val="2"/>
                <w:szCs w:val="21"/>
                <w:highlight w:val="none"/>
              </w:rPr>
              <w:t>1人</w:t>
            </w:r>
          </w:p>
        </w:tc>
        <w:tc>
          <w:tcPr>
            <w:tcW w:w="4106" w:type="dxa"/>
            <w:noWrap/>
            <w:vAlign w:val="center"/>
          </w:tcPr>
          <w:p w14:paraId="7451CB4B">
            <w:pPr>
              <w:spacing w:line="240" w:lineRule="auto"/>
              <w:jc w:val="left"/>
              <w:rPr>
                <w:rFonts w:ascii="宋体" w:hAnsi="宋体" w:cs="宋体"/>
                <w:color w:val="auto"/>
                <w:kern w:val="2"/>
                <w:szCs w:val="21"/>
                <w:highlight w:val="none"/>
              </w:rPr>
            </w:pPr>
            <w:r>
              <w:rPr>
                <w:rFonts w:hint="eastAsia" w:ascii="宋体" w:hAnsi="宋体" w:cs="宋体"/>
                <w:color w:val="auto"/>
                <w:kern w:val="2"/>
                <w:szCs w:val="21"/>
                <w:highlight w:val="none"/>
              </w:rPr>
              <w:t>具备</w:t>
            </w:r>
            <w:r>
              <w:rPr>
                <w:rFonts w:hint="eastAsia" w:ascii="宋体" w:hAnsi="宋体" w:cs="宋体"/>
                <w:bCs/>
                <w:color w:val="auto"/>
                <w:kern w:val="2"/>
                <w:szCs w:val="21"/>
                <w:highlight w:val="none"/>
              </w:rPr>
              <w:t>高级工程师及以上职称。</w:t>
            </w:r>
          </w:p>
        </w:tc>
      </w:tr>
      <w:tr w14:paraId="0D387A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2552" w:type="dxa"/>
            <w:noWrap/>
            <w:vAlign w:val="center"/>
          </w:tcPr>
          <w:p w14:paraId="4886D29B">
            <w:pPr>
              <w:spacing w:line="240" w:lineRule="auto"/>
              <w:jc w:val="center"/>
              <w:rPr>
                <w:rFonts w:ascii="宋体" w:hAnsi="宋体" w:cs="宋体"/>
                <w:color w:val="auto"/>
                <w:kern w:val="2"/>
                <w:szCs w:val="21"/>
                <w:highlight w:val="none"/>
              </w:rPr>
            </w:pPr>
            <w:r>
              <w:rPr>
                <w:rFonts w:hint="eastAsia" w:ascii="宋体" w:hAnsi="宋体" w:cs="宋体"/>
                <w:color w:val="auto"/>
                <w:kern w:val="2"/>
                <w:szCs w:val="21"/>
                <w:highlight w:val="none"/>
              </w:rPr>
              <w:t>项目组成员</w:t>
            </w:r>
          </w:p>
          <w:p w14:paraId="36AE5FA9">
            <w:pPr>
              <w:spacing w:line="240" w:lineRule="auto"/>
              <w:jc w:val="center"/>
              <w:rPr>
                <w:rFonts w:ascii="宋体" w:hAnsi="宋体" w:cs="宋体"/>
                <w:color w:val="auto"/>
                <w:kern w:val="2"/>
                <w:szCs w:val="21"/>
                <w:highlight w:val="none"/>
              </w:rPr>
            </w:pPr>
            <w:r>
              <w:rPr>
                <w:rFonts w:hint="eastAsia" w:ascii="宋体" w:hAnsi="宋体" w:cs="宋体"/>
                <w:color w:val="auto"/>
                <w:kern w:val="2"/>
                <w:szCs w:val="21"/>
                <w:highlight w:val="none"/>
              </w:rPr>
              <w:t>（除项目负责人）</w:t>
            </w:r>
          </w:p>
        </w:tc>
        <w:tc>
          <w:tcPr>
            <w:tcW w:w="2521" w:type="dxa"/>
            <w:noWrap/>
            <w:vAlign w:val="center"/>
          </w:tcPr>
          <w:p w14:paraId="4C7A47F9">
            <w:pPr>
              <w:spacing w:line="240" w:lineRule="auto"/>
              <w:jc w:val="center"/>
              <w:rPr>
                <w:rFonts w:ascii="宋体" w:hAnsi="宋体" w:cs="宋体"/>
                <w:color w:val="auto"/>
                <w:kern w:val="2"/>
                <w:szCs w:val="21"/>
                <w:highlight w:val="none"/>
              </w:rPr>
            </w:pPr>
            <w:r>
              <w:rPr>
                <w:rFonts w:hint="eastAsia" w:ascii="宋体" w:hAnsi="宋体" w:cs="宋体"/>
                <w:color w:val="auto"/>
                <w:kern w:val="2"/>
                <w:szCs w:val="21"/>
                <w:highlight w:val="none"/>
              </w:rPr>
              <w:t>不少于4人</w:t>
            </w:r>
          </w:p>
        </w:tc>
        <w:tc>
          <w:tcPr>
            <w:tcW w:w="4106" w:type="dxa"/>
            <w:noWrap/>
            <w:vAlign w:val="center"/>
          </w:tcPr>
          <w:p w14:paraId="5DC46788">
            <w:pPr>
              <w:spacing w:line="240" w:lineRule="auto"/>
              <w:jc w:val="left"/>
              <w:rPr>
                <w:rFonts w:ascii="宋体" w:hAnsi="宋体" w:cs="宋体"/>
                <w:color w:val="auto"/>
                <w:kern w:val="2"/>
                <w:szCs w:val="21"/>
                <w:highlight w:val="none"/>
              </w:rPr>
            </w:pPr>
          </w:p>
        </w:tc>
      </w:tr>
    </w:tbl>
    <w:p w14:paraId="30A2E596">
      <w:pPr>
        <w:widowControl/>
        <w:spacing w:line="520" w:lineRule="exact"/>
        <w:ind w:firstLine="480"/>
        <w:jc w:val="left"/>
        <w:rPr>
          <w:rFonts w:ascii="宋体" w:hAnsi="宋体" w:cs="Arial"/>
          <w:b/>
          <w:color w:val="auto"/>
          <w:szCs w:val="21"/>
          <w:highlight w:val="none"/>
        </w:rPr>
      </w:pPr>
      <w:r>
        <w:rPr>
          <w:rFonts w:hint="eastAsia" w:ascii="宋体" w:hAnsi="宋体" w:cs="Arial"/>
          <w:b/>
          <w:color w:val="auto"/>
          <w:szCs w:val="21"/>
          <w:highlight w:val="none"/>
          <w:lang w:eastAsia="zh-CN"/>
        </w:rPr>
        <w:t>九</w:t>
      </w:r>
      <w:r>
        <w:rPr>
          <w:rFonts w:hint="eastAsia" w:ascii="宋体" w:hAnsi="宋体" w:cs="Arial"/>
          <w:b/>
          <w:color w:val="auto"/>
          <w:szCs w:val="21"/>
          <w:highlight w:val="none"/>
        </w:rPr>
        <w:t>、其他</w:t>
      </w:r>
    </w:p>
    <w:p w14:paraId="62E7872A">
      <w:pPr>
        <w:widowControl/>
        <w:spacing w:line="520" w:lineRule="exact"/>
        <w:ind w:firstLine="480"/>
        <w:jc w:val="left"/>
        <w:rPr>
          <w:rFonts w:ascii="宋体" w:hAnsi="宋体" w:cs="Arial"/>
          <w:bCs/>
          <w:color w:val="auto"/>
          <w:szCs w:val="21"/>
          <w:highlight w:val="none"/>
        </w:rPr>
      </w:pPr>
      <w:r>
        <w:rPr>
          <w:rFonts w:hint="eastAsia" w:ascii="宋体" w:hAnsi="宋体" w:cs="Arial"/>
          <w:bCs/>
          <w:color w:val="auto"/>
          <w:szCs w:val="21"/>
          <w:highlight w:val="none"/>
        </w:rPr>
        <w:t>1、投标人实力要求</w:t>
      </w:r>
    </w:p>
    <w:p w14:paraId="73A9B479">
      <w:pPr>
        <w:widowControl/>
        <w:spacing w:line="520" w:lineRule="exact"/>
        <w:ind w:firstLine="480"/>
        <w:jc w:val="left"/>
        <w:rPr>
          <w:rFonts w:ascii="宋体" w:hAnsi="宋体" w:cs="Arial"/>
          <w:bCs/>
          <w:color w:val="auto"/>
          <w:szCs w:val="21"/>
          <w:highlight w:val="none"/>
        </w:rPr>
      </w:pPr>
      <w:r>
        <w:rPr>
          <w:rFonts w:hint="eastAsia" w:ascii="宋体" w:hAnsi="宋体" w:cs="Arial"/>
          <w:bCs/>
          <w:color w:val="auto"/>
          <w:szCs w:val="21"/>
          <w:highlight w:val="none"/>
        </w:rPr>
        <w:t>投标人须具备履行本项目合同所必需的设备和专业技术能力，对于完成本项目具有丰富的经验和业绩，并获得过行业认可和荣誉。企业综合实力过硬、工作人员充足，确保能保质保量的完成本项目。</w:t>
      </w:r>
    </w:p>
    <w:p w14:paraId="61A3B85C">
      <w:pPr>
        <w:widowControl/>
        <w:spacing w:line="520" w:lineRule="exact"/>
        <w:ind w:firstLine="480"/>
        <w:jc w:val="left"/>
        <w:rPr>
          <w:rFonts w:ascii="宋体" w:hAnsi="宋体"/>
          <w:color w:val="auto"/>
          <w:szCs w:val="21"/>
          <w:highlight w:val="none"/>
        </w:rPr>
      </w:pPr>
      <w:r>
        <w:rPr>
          <w:rFonts w:hint="eastAsia" w:ascii="宋体" w:hAnsi="宋体" w:cs="Arial"/>
          <w:bCs/>
          <w:color w:val="auto"/>
          <w:szCs w:val="21"/>
          <w:highlight w:val="none"/>
        </w:rPr>
        <w:t>2、投标人应对本项目内容具有一定的认知，并可以提供针对本项目的</w:t>
      </w:r>
      <w:r>
        <w:rPr>
          <w:rFonts w:hint="eastAsia" w:ascii="宋体" w:hAnsi="宋体" w:cs="宋体"/>
          <w:color w:val="auto"/>
          <w:szCs w:val="21"/>
          <w:highlight w:val="none"/>
        </w:rPr>
        <w:t>技术方案和</w:t>
      </w:r>
      <w:r>
        <w:rPr>
          <w:rFonts w:hint="eastAsia" w:ascii="宋体" w:hAnsi="宋体" w:cs="宋体"/>
          <w:color w:val="auto"/>
          <w:kern w:val="2"/>
          <w:szCs w:val="21"/>
          <w:highlight w:val="none"/>
        </w:rPr>
        <w:t>质量保证措施，且根据自身的理解和实力提供有效的合理化建议和</w:t>
      </w:r>
      <w:r>
        <w:rPr>
          <w:rFonts w:hint="eastAsia" w:ascii="宋体" w:hAnsi="宋体" w:cs="宋体"/>
          <w:color w:val="auto"/>
          <w:szCs w:val="21"/>
          <w:highlight w:val="none"/>
        </w:rPr>
        <w:t>后续服务</w:t>
      </w:r>
      <w:r>
        <w:rPr>
          <w:rFonts w:hint="eastAsia" w:ascii="宋体" w:hAnsi="宋体"/>
          <w:color w:val="auto"/>
          <w:szCs w:val="21"/>
          <w:highlight w:val="none"/>
        </w:rPr>
        <w:t>。</w:t>
      </w:r>
    </w:p>
    <w:p w14:paraId="0495721A">
      <w:pPr>
        <w:pStyle w:val="38"/>
        <w:rPr>
          <w:rFonts w:hint="default"/>
          <w:color w:val="auto"/>
          <w:highlight w:val="none"/>
        </w:rPr>
      </w:pPr>
      <w:r>
        <w:rPr>
          <w:color w:val="auto"/>
          <w:highlight w:val="none"/>
        </w:rPr>
        <w:br w:type="page" w:clear="all"/>
      </w:r>
    </w:p>
    <w:p w14:paraId="4048253F">
      <w:pPr>
        <w:pStyle w:val="186"/>
        <w:spacing w:line="500" w:lineRule="atLeast"/>
        <w:rPr>
          <w:color w:val="auto"/>
          <w:highlight w:val="none"/>
        </w:rPr>
      </w:pPr>
      <w:r>
        <w:rPr>
          <w:rFonts w:hint="eastAsia"/>
          <w:color w:val="auto"/>
          <w:highlight w:val="none"/>
        </w:rPr>
        <w:t>第六章 投标文件格式</w:t>
      </w:r>
      <w:bookmarkEnd w:id="83"/>
      <w:bookmarkEnd w:id="84"/>
      <w:bookmarkEnd w:id="85"/>
    </w:p>
    <w:p w14:paraId="2D237226">
      <w:pPr>
        <w:spacing w:line="360" w:lineRule="auto"/>
        <w:jc w:val="left"/>
        <w:rPr>
          <w:rFonts w:ascii="宋体" w:hAnsi="宋体"/>
          <w:b/>
          <w:color w:val="auto"/>
          <w:sz w:val="32"/>
          <w:highlight w:val="none"/>
        </w:rPr>
      </w:pPr>
      <w:bookmarkStart w:id="90" w:name="_Toc445475396"/>
      <w:bookmarkStart w:id="91" w:name="_Toc462334558"/>
      <w:bookmarkStart w:id="92" w:name="_Toc397928631"/>
      <w:r>
        <w:rPr>
          <w:rStyle w:val="198"/>
          <w:rFonts w:hint="eastAsia" w:ascii="宋体" w:hAnsi="宋体"/>
          <w:color w:val="auto"/>
          <w:highlight w:val="none"/>
        </w:rPr>
        <w:t>封面</w:t>
      </w:r>
      <w:bookmarkEnd w:id="90"/>
      <w:bookmarkEnd w:id="91"/>
      <w:bookmarkEnd w:id="92"/>
    </w:p>
    <w:p w14:paraId="5A6BB9D1">
      <w:pPr>
        <w:spacing w:line="360" w:lineRule="auto"/>
        <w:jc w:val="center"/>
        <w:rPr>
          <w:rFonts w:ascii="黑体" w:eastAsia="黑体"/>
          <w:b/>
          <w:color w:val="auto"/>
          <w:sz w:val="32"/>
          <w:highlight w:val="none"/>
        </w:rPr>
      </w:pPr>
    </w:p>
    <w:p w14:paraId="75EC2BDB">
      <w:pPr>
        <w:jc w:val="center"/>
        <w:rPr>
          <w:rFonts w:ascii="宋体" w:hAnsi="宋体"/>
          <w:color w:val="auto"/>
          <w:sz w:val="44"/>
          <w:szCs w:val="44"/>
          <w:highlight w:val="none"/>
        </w:rPr>
      </w:pPr>
      <w:r>
        <w:rPr>
          <w:rFonts w:hint="eastAsia" w:ascii="宋体" w:hAnsi="宋体"/>
          <w:color w:val="auto"/>
          <w:sz w:val="44"/>
          <w:szCs w:val="44"/>
          <w:highlight w:val="none"/>
        </w:rPr>
        <w:t xml:space="preserve"> </w:t>
      </w:r>
    </w:p>
    <w:p w14:paraId="7FA5A95D">
      <w:pPr>
        <w:jc w:val="center"/>
        <w:rPr>
          <w:rFonts w:ascii="宋体" w:hAnsi="宋体"/>
          <w:color w:val="auto"/>
          <w:sz w:val="44"/>
          <w:szCs w:val="44"/>
          <w:highlight w:val="none"/>
        </w:rPr>
      </w:pPr>
      <w:r>
        <w:rPr>
          <w:rFonts w:hint="eastAsia" w:ascii="宋体" w:hAnsi="宋体"/>
          <w:color w:val="auto"/>
          <w:sz w:val="44"/>
          <w:szCs w:val="44"/>
          <w:highlight w:val="none"/>
          <w:u w:val="single"/>
        </w:rPr>
        <w:t xml:space="preserve"> （项目名称）    </w:t>
      </w:r>
      <w:r>
        <w:rPr>
          <w:rFonts w:hint="eastAsia" w:ascii="宋体" w:hAnsi="宋体"/>
          <w:color w:val="auto"/>
          <w:sz w:val="44"/>
          <w:szCs w:val="44"/>
          <w:highlight w:val="none"/>
        </w:rPr>
        <w:t>招标</w:t>
      </w:r>
    </w:p>
    <w:p w14:paraId="234114E9">
      <w:pPr>
        <w:spacing w:line="360" w:lineRule="auto"/>
        <w:jc w:val="center"/>
        <w:rPr>
          <w:rFonts w:ascii="宋体" w:hAnsi="宋体"/>
          <w:color w:val="auto"/>
          <w:sz w:val="28"/>
          <w:szCs w:val="28"/>
          <w:highlight w:val="none"/>
        </w:rPr>
      </w:pPr>
    </w:p>
    <w:p w14:paraId="449BC3E8">
      <w:pPr>
        <w:spacing w:line="360" w:lineRule="auto"/>
        <w:jc w:val="center"/>
        <w:rPr>
          <w:rFonts w:ascii="宋体" w:hAnsi="宋体"/>
          <w:color w:val="auto"/>
          <w:sz w:val="28"/>
          <w:szCs w:val="28"/>
          <w:highlight w:val="none"/>
        </w:rPr>
      </w:pPr>
    </w:p>
    <w:p w14:paraId="5E0F195B">
      <w:pPr>
        <w:spacing w:line="360" w:lineRule="auto"/>
        <w:jc w:val="center"/>
        <w:rPr>
          <w:rFonts w:ascii="宋体" w:hAnsi="宋体"/>
          <w:color w:val="auto"/>
          <w:sz w:val="72"/>
          <w:szCs w:val="72"/>
          <w:highlight w:val="none"/>
        </w:rPr>
      </w:pPr>
    </w:p>
    <w:p w14:paraId="60E87DD5">
      <w:pPr>
        <w:spacing w:line="360" w:lineRule="auto"/>
        <w:jc w:val="center"/>
        <w:rPr>
          <w:rFonts w:ascii="黑体" w:hAnsi="黑体" w:eastAsia="黑体"/>
          <w:color w:val="auto"/>
          <w:sz w:val="96"/>
          <w:szCs w:val="96"/>
          <w:highlight w:val="none"/>
        </w:rPr>
      </w:pPr>
      <w:r>
        <w:rPr>
          <w:rFonts w:hint="eastAsia" w:ascii="黑体" w:hAnsi="黑体" w:eastAsia="黑体"/>
          <w:color w:val="auto"/>
          <w:sz w:val="96"/>
          <w:szCs w:val="96"/>
          <w:highlight w:val="none"/>
        </w:rPr>
        <w:t>投 标 文 件</w:t>
      </w:r>
    </w:p>
    <w:p w14:paraId="436973BD">
      <w:pPr>
        <w:spacing w:line="360" w:lineRule="auto"/>
        <w:jc w:val="center"/>
        <w:rPr>
          <w:rFonts w:ascii="宋体" w:hAnsi="宋体"/>
          <w:color w:val="auto"/>
          <w:sz w:val="28"/>
          <w:szCs w:val="28"/>
          <w:highlight w:val="none"/>
        </w:rPr>
      </w:pPr>
    </w:p>
    <w:p w14:paraId="71753E0B">
      <w:pPr>
        <w:spacing w:line="360" w:lineRule="auto"/>
        <w:jc w:val="center"/>
        <w:rPr>
          <w:rFonts w:ascii="宋体" w:hAnsi="宋体"/>
          <w:color w:val="auto"/>
          <w:sz w:val="28"/>
          <w:szCs w:val="28"/>
          <w:highlight w:val="none"/>
        </w:rPr>
      </w:pPr>
      <w:r>
        <w:rPr>
          <w:rFonts w:hint="eastAsia" w:ascii="宋体" w:hAnsi="宋体"/>
          <w:color w:val="auto"/>
          <w:sz w:val="28"/>
          <w:szCs w:val="28"/>
          <w:highlight w:val="none"/>
        </w:rPr>
        <w:t xml:space="preserve">招标编号： </w:t>
      </w:r>
    </w:p>
    <w:p w14:paraId="1C3095EB">
      <w:pPr>
        <w:spacing w:line="360" w:lineRule="auto"/>
        <w:jc w:val="center"/>
        <w:rPr>
          <w:rFonts w:ascii="宋体" w:hAnsi="宋体"/>
          <w:color w:val="auto"/>
          <w:sz w:val="28"/>
          <w:szCs w:val="28"/>
          <w:highlight w:val="none"/>
        </w:rPr>
      </w:pPr>
    </w:p>
    <w:p w14:paraId="5D3093B9">
      <w:pPr>
        <w:spacing w:line="360" w:lineRule="auto"/>
        <w:jc w:val="center"/>
        <w:rPr>
          <w:rFonts w:ascii="宋体" w:hAnsi="宋体"/>
          <w:color w:val="auto"/>
          <w:sz w:val="28"/>
          <w:szCs w:val="28"/>
          <w:highlight w:val="none"/>
        </w:rPr>
      </w:pPr>
    </w:p>
    <w:p w14:paraId="56D559D8">
      <w:pPr>
        <w:spacing w:line="360" w:lineRule="auto"/>
        <w:jc w:val="center"/>
        <w:rPr>
          <w:rFonts w:ascii="宋体" w:hAnsi="宋体"/>
          <w:color w:val="auto"/>
          <w:sz w:val="28"/>
          <w:szCs w:val="28"/>
          <w:highlight w:val="none"/>
        </w:rPr>
      </w:pPr>
    </w:p>
    <w:p w14:paraId="7FFA943D">
      <w:pPr>
        <w:spacing w:line="360" w:lineRule="auto"/>
        <w:jc w:val="center"/>
        <w:rPr>
          <w:rFonts w:ascii="宋体" w:hAnsi="宋体"/>
          <w:color w:val="auto"/>
          <w:sz w:val="28"/>
          <w:szCs w:val="28"/>
          <w:highlight w:val="none"/>
        </w:rPr>
      </w:pPr>
    </w:p>
    <w:p w14:paraId="3DEF513B">
      <w:pPr>
        <w:spacing w:line="360" w:lineRule="auto"/>
        <w:jc w:val="center"/>
        <w:rPr>
          <w:rFonts w:ascii="宋体" w:hAnsi="宋体"/>
          <w:color w:val="auto"/>
          <w:sz w:val="28"/>
          <w:szCs w:val="28"/>
          <w:highlight w:val="none"/>
        </w:rPr>
      </w:pPr>
    </w:p>
    <w:p w14:paraId="49515A7C">
      <w:pPr>
        <w:spacing w:line="360" w:lineRule="auto"/>
        <w:ind w:firstLine="708"/>
        <w:jc w:val="left"/>
        <w:rPr>
          <w:rFonts w:ascii="宋体" w:hAnsi="宋体"/>
          <w:color w:val="auto"/>
          <w:sz w:val="28"/>
          <w:szCs w:val="28"/>
          <w:highlight w:val="none"/>
          <w:u w:val="single"/>
        </w:rPr>
      </w:pPr>
      <w:r>
        <w:rPr>
          <w:rFonts w:hint="eastAsia" w:ascii="宋体" w:hAnsi="宋体"/>
          <w:color w:val="auto"/>
          <w:sz w:val="28"/>
          <w:szCs w:val="28"/>
          <w:highlight w:val="none"/>
        </w:rPr>
        <w:t>投标人（盖章）：</w:t>
      </w:r>
      <w:r>
        <w:rPr>
          <w:rFonts w:hint="eastAsia" w:ascii="宋体" w:hAnsi="宋体"/>
          <w:color w:val="auto"/>
          <w:sz w:val="28"/>
          <w:szCs w:val="28"/>
          <w:highlight w:val="none"/>
          <w:u w:val="single"/>
        </w:rPr>
        <w:t xml:space="preserve">                                </w:t>
      </w:r>
    </w:p>
    <w:p w14:paraId="4C94C5C1">
      <w:pPr>
        <w:spacing w:line="360" w:lineRule="auto"/>
        <w:ind w:firstLine="700"/>
        <w:jc w:val="left"/>
        <w:rPr>
          <w:rFonts w:ascii="宋体" w:hAnsi="宋体"/>
          <w:color w:val="auto"/>
          <w:sz w:val="28"/>
          <w:szCs w:val="28"/>
          <w:highlight w:val="none"/>
        </w:rPr>
      </w:pPr>
      <w:r>
        <w:rPr>
          <w:rFonts w:hint="eastAsia" w:ascii="宋体" w:hAnsi="宋体"/>
          <w:color w:val="auto"/>
          <w:sz w:val="28"/>
          <w:szCs w:val="28"/>
          <w:highlight w:val="none"/>
        </w:rPr>
        <w:t>日期：</w:t>
      </w:r>
      <w:r>
        <w:rPr>
          <w:rFonts w:hint="eastAsia" w:ascii="宋体" w:hAnsi="宋体"/>
          <w:color w:val="auto"/>
          <w:sz w:val="28"/>
          <w:szCs w:val="28"/>
          <w:highlight w:val="none"/>
          <w:u w:val="single"/>
        </w:rPr>
        <w:t xml:space="preserve">     </w:t>
      </w:r>
      <w:r>
        <w:rPr>
          <w:rFonts w:hint="eastAsia" w:ascii="宋体" w:hAnsi="宋体"/>
          <w:color w:val="auto"/>
          <w:sz w:val="28"/>
          <w:szCs w:val="28"/>
          <w:highlight w:val="none"/>
        </w:rPr>
        <w:t>年</w:t>
      </w:r>
      <w:r>
        <w:rPr>
          <w:rFonts w:hint="eastAsia" w:ascii="宋体" w:hAnsi="宋体"/>
          <w:color w:val="auto"/>
          <w:sz w:val="28"/>
          <w:szCs w:val="28"/>
          <w:highlight w:val="none"/>
          <w:u w:val="single"/>
        </w:rPr>
        <w:t xml:space="preserve">    </w:t>
      </w:r>
      <w:r>
        <w:rPr>
          <w:rFonts w:hint="eastAsia" w:ascii="宋体" w:hAnsi="宋体"/>
          <w:color w:val="auto"/>
          <w:sz w:val="28"/>
          <w:szCs w:val="28"/>
          <w:highlight w:val="none"/>
        </w:rPr>
        <w:t>月</w:t>
      </w:r>
      <w:r>
        <w:rPr>
          <w:rFonts w:hint="eastAsia" w:ascii="宋体" w:hAnsi="宋体"/>
          <w:color w:val="auto"/>
          <w:sz w:val="28"/>
          <w:szCs w:val="28"/>
          <w:highlight w:val="none"/>
          <w:u w:val="single"/>
        </w:rPr>
        <w:t xml:space="preserve">    </w:t>
      </w:r>
      <w:r>
        <w:rPr>
          <w:rFonts w:hint="eastAsia" w:ascii="宋体" w:hAnsi="宋体"/>
          <w:color w:val="auto"/>
          <w:sz w:val="28"/>
          <w:szCs w:val="28"/>
          <w:highlight w:val="none"/>
        </w:rPr>
        <w:t>日</w:t>
      </w:r>
    </w:p>
    <w:p w14:paraId="47FE4CD1">
      <w:pPr>
        <w:spacing w:line="360" w:lineRule="auto"/>
        <w:ind w:firstLine="700"/>
        <w:jc w:val="left"/>
        <w:rPr>
          <w:rFonts w:ascii="宋体" w:hAnsi="宋体"/>
          <w:color w:val="auto"/>
          <w:sz w:val="28"/>
          <w:szCs w:val="28"/>
          <w:highlight w:val="none"/>
        </w:rPr>
      </w:pPr>
    </w:p>
    <w:p w14:paraId="1EE179F5">
      <w:pPr>
        <w:spacing w:line="360" w:lineRule="auto"/>
        <w:ind w:firstLine="803"/>
        <w:jc w:val="center"/>
        <w:rPr>
          <w:rFonts w:ascii="黑体" w:eastAsia="黑体"/>
          <w:b/>
          <w:color w:val="auto"/>
          <w:sz w:val="32"/>
          <w:highlight w:val="none"/>
        </w:rPr>
      </w:pPr>
      <w:bookmarkStart w:id="93" w:name="_Toc387526242"/>
      <w:bookmarkStart w:id="94" w:name="_Toc387526346"/>
      <w:bookmarkStart w:id="95" w:name="_Toc387526438"/>
      <w:bookmarkStart w:id="96" w:name="_Toc5230"/>
      <w:bookmarkStart w:id="97" w:name="_Toc397928632"/>
    </w:p>
    <w:p w14:paraId="0E4253A3">
      <w:pPr>
        <w:spacing w:line="360" w:lineRule="auto"/>
        <w:ind w:firstLine="803"/>
        <w:jc w:val="center"/>
        <w:rPr>
          <w:color w:val="auto"/>
          <w:highlight w:val="none"/>
        </w:rPr>
      </w:pPr>
      <w:r>
        <w:rPr>
          <w:rFonts w:hint="eastAsia" w:ascii="黑体" w:eastAsia="黑体"/>
          <w:b/>
          <w:color w:val="auto"/>
          <w:sz w:val="32"/>
          <w:highlight w:val="none"/>
        </w:rPr>
        <w:t>目     录</w:t>
      </w:r>
    </w:p>
    <w:p w14:paraId="191C35E8">
      <w:pPr>
        <w:spacing w:line="360" w:lineRule="auto"/>
        <w:ind w:firstLine="1785"/>
        <w:jc w:val="left"/>
        <w:rPr>
          <w:color w:val="auto"/>
          <w:highlight w:val="none"/>
        </w:rPr>
      </w:pPr>
    </w:p>
    <w:p w14:paraId="146153DE">
      <w:pPr>
        <w:spacing w:line="360" w:lineRule="auto"/>
        <w:ind w:firstLine="1785"/>
        <w:jc w:val="left"/>
        <w:rPr>
          <w:color w:val="auto"/>
          <w:highlight w:val="none"/>
        </w:rPr>
      </w:pPr>
      <w:r>
        <w:rPr>
          <w:rFonts w:hint="eastAsia"/>
          <w:color w:val="auto"/>
          <w:highlight w:val="none"/>
        </w:rPr>
        <w:t>由投标人根据招标文件自行编制。</w:t>
      </w:r>
    </w:p>
    <w:p w14:paraId="67B0C0AE">
      <w:pPr>
        <w:spacing w:line="360" w:lineRule="auto"/>
        <w:ind w:firstLine="1785"/>
        <w:jc w:val="left"/>
        <w:rPr>
          <w:color w:val="auto"/>
          <w:highlight w:val="none"/>
        </w:rPr>
      </w:pPr>
    </w:p>
    <w:p w14:paraId="1A7D337B">
      <w:pPr>
        <w:spacing w:line="360" w:lineRule="auto"/>
        <w:ind w:firstLine="1785"/>
        <w:jc w:val="left"/>
        <w:rPr>
          <w:color w:val="auto"/>
          <w:highlight w:val="none"/>
        </w:rPr>
      </w:pPr>
    </w:p>
    <w:p w14:paraId="7016CF80">
      <w:pPr>
        <w:spacing w:line="360" w:lineRule="auto"/>
        <w:ind w:firstLine="1785"/>
        <w:jc w:val="left"/>
        <w:rPr>
          <w:color w:val="auto"/>
          <w:highlight w:val="none"/>
        </w:rPr>
      </w:pPr>
    </w:p>
    <w:p w14:paraId="4519F1CD">
      <w:pPr>
        <w:spacing w:line="360" w:lineRule="auto"/>
        <w:ind w:firstLine="1785"/>
        <w:jc w:val="left"/>
        <w:rPr>
          <w:color w:val="auto"/>
          <w:highlight w:val="none"/>
        </w:rPr>
      </w:pPr>
    </w:p>
    <w:p w14:paraId="4AAA5574">
      <w:pPr>
        <w:spacing w:line="360" w:lineRule="auto"/>
        <w:ind w:firstLine="1785"/>
        <w:jc w:val="left"/>
        <w:rPr>
          <w:color w:val="auto"/>
          <w:highlight w:val="none"/>
        </w:rPr>
      </w:pPr>
    </w:p>
    <w:p w14:paraId="03C72772">
      <w:pPr>
        <w:spacing w:line="360" w:lineRule="auto"/>
        <w:ind w:firstLine="1785"/>
        <w:jc w:val="left"/>
        <w:rPr>
          <w:color w:val="auto"/>
          <w:highlight w:val="none"/>
        </w:rPr>
      </w:pPr>
    </w:p>
    <w:p w14:paraId="32050B03">
      <w:pPr>
        <w:spacing w:line="360" w:lineRule="auto"/>
        <w:ind w:firstLine="1785"/>
        <w:jc w:val="left"/>
        <w:rPr>
          <w:color w:val="auto"/>
          <w:highlight w:val="none"/>
        </w:rPr>
      </w:pPr>
    </w:p>
    <w:p w14:paraId="434FC0C0">
      <w:pPr>
        <w:spacing w:line="360" w:lineRule="auto"/>
        <w:ind w:firstLine="1785"/>
        <w:jc w:val="left"/>
        <w:rPr>
          <w:color w:val="auto"/>
          <w:highlight w:val="none"/>
        </w:rPr>
      </w:pPr>
    </w:p>
    <w:p w14:paraId="13DD1226">
      <w:pPr>
        <w:spacing w:line="360" w:lineRule="auto"/>
        <w:ind w:firstLine="1785"/>
        <w:jc w:val="left"/>
        <w:rPr>
          <w:color w:val="auto"/>
          <w:highlight w:val="none"/>
        </w:rPr>
      </w:pPr>
    </w:p>
    <w:p w14:paraId="728CD5D6">
      <w:pPr>
        <w:spacing w:line="360" w:lineRule="auto"/>
        <w:ind w:firstLine="1785"/>
        <w:jc w:val="left"/>
        <w:rPr>
          <w:color w:val="auto"/>
          <w:highlight w:val="none"/>
        </w:rPr>
      </w:pPr>
    </w:p>
    <w:p w14:paraId="401EFFD7">
      <w:pPr>
        <w:spacing w:line="360" w:lineRule="auto"/>
        <w:ind w:firstLine="1785"/>
        <w:jc w:val="left"/>
        <w:rPr>
          <w:color w:val="auto"/>
          <w:highlight w:val="none"/>
        </w:rPr>
      </w:pPr>
    </w:p>
    <w:p w14:paraId="414D6C08">
      <w:pPr>
        <w:spacing w:line="360" w:lineRule="auto"/>
        <w:ind w:firstLine="1785"/>
        <w:jc w:val="left"/>
        <w:rPr>
          <w:color w:val="auto"/>
          <w:highlight w:val="none"/>
        </w:rPr>
      </w:pPr>
    </w:p>
    <w:p w14:paraId="7425904E">
      <w:pPr>
        <w:spacing w:line="360" w:lineRule="auto"/>
        <w:ind w:firstLine="1785"/>
        <w:jc w:val="left"/>
        <w:rPr>
          <w:color w:val="auto"/>
          <w:highlight w:val="none"/>
        </w:rPr>
      </w:pPr>
    </w:p>
    <w:p w14:paraId="02878821">
      <w:pPr>
        <w:spacing w:line="360" w:lineRule="auto"/>
        <w:ind w:firstLine="1785"/>
        <w:jc w:val="left"/>
        <w:rPr>
          <w:color w:val="auto"/>
          <w:highlight w:val="none"/>
        </w:rPr>
      </w:pPr>
    </w:p>
    <w:p w14:paraId="36F42B46">
      <w:pPr>
        <w:spacing w:line="360" w:lineRule="auto"/>
        <w:ind w:firstLine="1785"/>
        <w:jc w:val="left"/>
        <w:rPr>
          <w:color w:val="auto"/>
          <w:highlight w:val="none"/>
        </w:rPr>
      </w:pPr>
    </w:p>
    <w:p w14:paraId="7AFB517C">
      <w:pPr>
        <w:spacing w:line="360" w:lineRule="auto"/>
        <w:ind w:firstLine="1785"/>
        <w:jc w:val="left"/>
        <w:rPr>
          <w:color w:val="auto"/>
          <w:highlight w:val="none"/>
        </w:rPr>
      </w:pPr>
    </w:p>
    <w:p w14:paraId="513125A6">
      <w:pPr>
        <w:spacing w:line="360" w:lineRule="auto"/>
        <w:ind w:firstLine="1785"/>
        <w:jc w:val="left"/>
        <w:rPr>
          <w:color w:val="auto"/>
          <w:highlight w:val="none"/>
        </w:rPr>
      </w:pPr>
    </w:p>
    <w:p w14:paraId="3E8D77E3">
      <w:pPr>
        <w:spacing w:line="360" w:lineRule="auto"/>
        <w:ind w:firstLine="1785"/>
        <w:jc w:val="left"/>
        <w:rPr>
          <w:color w:val="auto"/>
          <w:highlight w:val="none"/>
        </w:rPr>
      </w:pPr>
    </w:p>
    <w:p w14:paraId="2AA7AF10">
      <w:pPr>
        <w:spacing w:line="360" w:lineRule="auto"/>
        <w:ind w:firstLine="1785"/>
        <w:jc w:val="left"/>
        <w:rPr>
          <w:color w:val="auto"/>
          <w:highlight w:val="none"/>
        </w:rPr>
      </w:pPr>
    </w:p>
    <w:p w14:paraId="3CECA948">
      <w:pPr>
        <w:spacing w:line="360" w:lineRule="auto"/>
        <w:ind w:firstLine="1785"/>
        <w:jc w:val="left"/>
        <w:rPr>
          <w:color w:val="auto"/>
          <w:highlight w:val="none"/>
        </w:rPr>
      </w:pPr>
    </w:p>
    <w:p w14:paraId="2CB8B00D">
      <w:pPr>
        <w:spacing w:line="360" w:lineRule="auto"/>
        <w:ind w:firstLine="1785"/>
        <w:jc w:val="left"/>
        <w:rPr>
          <w:color w:val="auto"/>
          <w:highlight w:val="none"/>
        </w:rPr>
      </w:pPr>
    </w:p>
    <w:p w14:paraId="2642F23E">
      <w:pPr>
        <w:spacing w:line="360" w:lineRule="auto"/>
        <w:ind w:firstLine="1785"/>
        <w:jc w:val="left"/>
        <w:rPr>
          <w:color w:val="auto"/>
          <w:highlight w:val="none"/>
        </w:rPr>
      </w:pPr>
    </w:p>
    <w:p w14:paraId="3A3BDCC3">
      <w:pPr>
        <w:spacing w:line="360" w:lineRule="auto"/>
        <w:ind w:firstLine="1785"/>
        <w:jc w:val="left"/>
        <w:rPr>
          <w:color w:val="auto"/>
          <w:highlight w:val="none"/>
        </w:rPr>
      </w:pPr>
    </w:p>
    <w:p w14:paraId="5FAECCEA">
      <w:pPr>
        <w:spacing w:line="360" w:lineRule="auto"/>
        <w:ind w:firstLine="1785"/>
        <w:jc w:val="left"/>
        <w:rPr>
          <w:color w:val="auto"/>
          <w:highlight w:val="none"/>
        </w:rPr>
      </w:pPr>
      <w:r>
        <w:rPr>
          <w:color w:val="auto"/>
          <w:highlight w:val="none"/>
        </w:rPr>
        <w:t xml:space="preserve"> </w:t>
      </w:r>
    </w:p>
    <w:bookmarkEnd w:id="93"/>
    <w:bookmarkEnd w:id="94"/>
    <w:bookmarkEnd w:id="95"/>
    <w:bookmarkEnd w:id="96"/>
    <w:bookmarkEnd w:id="97"/>
    <w:p w14:paraId="52419CC2">
      <w:pPr>
        <w:pStyle w:val="222"/>
        <w:spacing w:before="120" w:after="120" w:line="460" w:lineRule="exact"/>
        <w:jc w:val="left"/>
        <w:rPr>
          <w:rFonts w:hAnsi="宋体" w:cs="Angsana New"/>
          <w:color w:val="auto"/>
          <w:highlight w:val="none"/>
          <w:lang w:bidi="th-TH"/>
        </w:rPr>
      </w:pPr>
    </w:p>
    <w:p w14:paraId="3A729151">
      <w:pPr>
        <w:pStyle w:val="222"/>
        <w:spacing w:before="120" w:after="120" w:line="460" w:lineRule="exact"/>
        <w:jc w:val="left"/>
        <w:rPr>
          <w:rFonts w:hAnsi="宋体" w:cs="Angsana New"/>
          <w:color w:val="auto"/>
          <w:highlight w:val="none"/>
          <w:lang w:bidi="th-TH"/>
        </w:rPr>
      </w:pPr>
    </w:p>
    <w:p w14:paraId="3EF830F1">
      <w:pPr>
        <w:pStyle w:val="222"/>
        <w:spacing w:before="120" w:after="120" w:line="460" w:lineRule="exact"/>
        <w:jc w:val="left"/>
        <w:rPr>
          <w:rFonts w:hAnsi="宋体" w:cs="Angsana New"/>
          <w:color w:val="auto"/>
          <w:highlight w:val="none"/>
          <w:lang w:bidi="th-TH"/>
        </w:rPr>
      </w:pPr>
    </w:p>
    <w:p w14:paraId="7260B4E8">
      <w:pPr>
        <w:pStyle w:val="222"/>
        <w:spacing w:before="120" w:after="120" w:line="460" w:lineRule="exact"/>
        <w:jc w:val="left"/>
        <w:rPr>
          <w:rFonts w:hAnsi="宋体" w:cs="Angsana New"/>
          <w:color w:val="auto"/>
          <w:highlight w:val="none"/>
          <w:lang w:bidi="th-TH"/>
        </w:rPr>
      </w:pPr>
    </w:p>
    <w:p w14:paraId="5CB0864B">
      <w:pPr>
        <w:pStyle w:val="222"/>
        <w:spacing w:before="120" w:after="120" w:line="460" w:lineRule="exact"/>
        <w:jc w:val="left"/>
        <w:rPr>
          <w:rFonts w:hAnsi="宋体" w:cs="Angsana New"/>
          <w:color w:val="auto"/>
          <w:highlight w:val="none"/>
          <w:lang w:bidi="th-TH"/>
        </w:rPr>
      </w:pPr>
    </w:p>
    <w:p w14:paraId="39F89FF2">
      <w:pPr>
        <w:rPr>
          <w:rFonts w:hAnsi="宋体" w:cs="Angsana New"/>
          <w:color w:val="auto"/>
          <w:sz w:val="24"/>
          <w:szCs w:val="24"/>
          <w:highlight w:val="none"/>
          <w:lang w:bidi="th-TH"/>
        </w:rPr>
      </w:pPr>
      <w:r>
        <w:rPr>
          <w:rFonts w:hint="eastAsia"/>
          <w:color w:val="auto"/>
          <w:sz w:val="24"/>
          <w:highlight w:val="none"/>
        </w:rPr>
        <w:br w:type="page"/>
      </w:r>
      <w:r>
        <w:rPr>
          <w:rFonts w:hint="eastAsia"/>
          <w:color w:val="auto"/>
          <w:sz w:val="24"/>
          <w:szCs w:val="24"/>
          <w:highlight w:val="none"/>
        </w:rPr>
        <w:t>格式一：</w:t>
      </w:r>
    </w:p>
    <w:p w14:paraId="4B51BD86">
      <w:pPr>
        <w:pStyle w:val="222"/>
        <w:spacing w:before="120" w:after="120" w:line="460" w:lineRule="exact"/>
        <w:jc w:val="center"/>
        <w:rPr>
          <w:rFonts w:hAnsi="宋体"/>
          <w:b/>
          <w:color w:val="auto"/>
          <w:szCs w:val="28"/>
          <w:highlight w:val="none"/>
        </w:rPr>
      </w:pPr>
    </w:p>
    <w:p w14:paraId="757F66A6">
      <w:pPr>
        <w:pStyle w:val="222"/>
        <w:spacing w:before="120" w:after="120" w:line="460" w:lineRule="exact"/>
        <w:jc w:val="center"/>
        <w:rPr>
          <w:rFonts w:hAnsi="宋体" w:cs="Angsana New"/>
          <w:color w:val="auto"/>
          <w:highlight w:val="none"/>
          <w:lang w:bidi="th-TH"/>
        </w:rPr>
      </w:pPr>
      <w:r>
        <w:rPr>
          <w:rFonts w:hint="eastAsia" w:hAnsi="宋体"/>
          <w:b/>
          <w:color w:val="auto"/>
          <w:szCs w:val="28"/>
          <w:highlight w:val="none"/>
        </w:rPr>
        <w:t>投标人的法定代表人身份证明书</w:t>
      </w:r>
    </w:p>
    <w:p w14:paraId="171F52A7">
      <w:pPr>
        <w:pStyle w:val="222"/>
        <w:spacing w:before="120" w:after="120" w:line="460" w:lineRule="exact"/>
        <w:jc w:val="left"/>
        <w:rPr>
          <w:rFonts w:hAnsi="宋体" w:cs="Angsana New"/>
          <w:color w:val="auto"/>
          <w:sz w:val="21"/>
          <w:szCs w:val="21"/>
          <w:highlight w:val="none"/>
          <w:u w:val="single"/>
          <w:lang w:bidi="th-TH"/>
        </w:rPr>
      </w:pPr>
      <w:r>
        <w:rPr>
          <w:rFonts w:hint="eastAsia" w:hAnsi="宋体" w:cs="Angsana New"/>
          <w:color w:val="auto"/>
          <w:sz w:val="21"/>
          <w:szCs w:val="21"/>
          <w:highlight w:val="none"/>
          <w:lang w:bidi="th-TH"/>
        </w:rPr>
        <w:t>单位名称：</w:t>
      </w:r>
      <w:r>
        <w:rPr>
          <w:rFonts w:hint="eastAsia" w:hAnsi="宋体" w:cs="Angsana New"/>
          <w:color w:val="auto"/>
          <w:sz w:val="21"/>
          <w:szCs w:val="21"/>
          <w:highlight w:val="none"/>
          <w:u w:val="single"/>
          <w:lang w:bidi="th-TH"/>
        </w:rPr>
        <w:t xml:space="preserve">                                  </w:t>
      </w:r>
    </w:p>
    <w:p w14:paraId="25218730">
      <w:pPr>
        <w:pStyle w:val="222"/>
        <w:spacing w:before="120" w:after="120" w:line="460" w:lineRule="exact"/>
        <w:jc w:val="left"/>
        <w:rPr>
          <w:rFonts w:hAnsi="宋体" w:cs="Angsana New"/>
          <w:color w:val="auto"/>
          <w:sz w:val="21"/>
          <w:szCs w:val="21"/>
          <w:highlight w:val="none"/>
          <w:u w:val="single"/>
          <w:lang w:bidi="th-TH"/>
        </w:rPr>
      </w:pPr>
      <w:r>
        <w:rPr>
          <w:rFonts w:hint="eastAsia" w:hAnsi="宋体" w:cs="Angsana New"/>
          <w:color w:val="auto"/>
          <w:sz w:val="21"/>
          <w:szCs w:val="21"/>
          <w:highlight w:val="none"/>
          <w:lang w:bidi="th-TH"/>
        </w:rPr>
        <w:t>单位性质：</w:t>
      </w:r>
      <w:r>
        <w:rPr>
          <w:rFonts w:hint="eastAsia" w:hAnsi="宋体" w:cs="Angsana New"/>
          <w:color w:val="auto"/>
          <w:sz w:val="21"/>
          <w:szCs w:val="21"/>
          <w:highlight w:val="none"/>
          <w:u w:val="single"/>
          <w:lang w:bidi="th-TH"/>
        </w:rPr>
        <w:t xml:space="preserve">                                 </w:t>
      </w:r>
    </w:p>
    <w:p w14:paraId="2EE909DC">
      <w:pPr>
        <w:pStyle w:val="222"/>
        <w:spacing w:before="120" w:after="120" w:line="460" w:lineRule="exact"/>
        <w:jc w:val="left"/>
        <w:rPr>
          <w:rFonts w:hAnsi="宋体" w:cs="Angsana New"/>
          <w:color w:val="auto"/>
          <w:sz w:val="21"/>
          <w:szCs w:val="21"/>
          <w:highlight w:val="none"/>
          <w:u w:val="single"/>
          <w:lang w:bidi="th-TH"/>
        </w:rPr>
      </w:pPr>
      <w:r>
        <w:rPr>
          <w:rFonts w:hint="eastAsia" w:hAnsi="宋体" w:cs="Angsana New"/>
          <w:color w:val="auto"/>
          <w:sz w:val="21"/>
          <w:szCs w:val="21"/>
          <w:highlight w:val="none"/>
          <w:lang w:bidi="th-TH"/>
        </w:rPr>
        <w:t>地址：</w:t>
      </w:r>
      <w:r>
        <w:rPr>
          <w:rFonts w:hint="eastAsia" w:hAnsi="宋体" w:cs="Angsana New"/>
          <w:color w:val="auto"/>
          <w:sz w:val="21"/>
          <w:szCs w:val="21"/>
          <w:highlight w:val="none"/>
          <w:u w:val="single"/>
          <w:lang w:bidi="th-TH"/>
        </w:rPr>
        <w:t xml:space="preserve">                                     </w:t>
      </w:r>
    </w:p>
    <w:p w14:paraId="202653EC">
      <w:pPr>
        <w:pStyle w:val="222"/>
        <w:spacing w:before="120" w:after="120" w:line="460" w:lineRule="exact"/>
        <w:jc w:val="left"/>
        <w:rPr>
          <w:rFonts w:hAnsi="宋体" w:cs="Angsana New"/>
          <w:color w:val="auto"/>
          <w:sz w:val="21"/>
          <w:szCs w:val="21"/>
          <w:highlight w:val="none"/>
          <w:lang w:bidi="th-TH"/>
        </w:rPr>
      </w:pPr>
      <w:r>
        <w:rPr>
          <w:rFonts w:hint="eastAsia" w:hAnsi="宋体" w:cs="Angsana New"/>
          <w:color w:val="auto"/>
          <w:sz w:val="21"/>
          <w:szCs w:val="21"/>
          <w:highlight w:val="none"/>
          <w:lang w:bidi="th-TH"/>
        </w:rPr>
        <w:t>成立时间：</w:t>
      </w:r>
      <w:r>
        <w:rPr>
          <w:rFonts w:hint="eastAsia" w:hAnsi="宋体" w:cs="Angsana New"/>
          <w:color w:val="auto"/>
          <w:sz w:val="21"/>
          <w:szCs w:val="21"/>
          <w:highlight w:val="none"/>
          <w:u w:val="single"/>
          <w:lang w:bidi="th-TH"/>
        </w:rPr>
        <w:t xml:space="preserve">       年    月      日</w:t>
      </w:r>
    </w:p>
    <w:p w14:paraId="456EE707">
      <w:pPr>
        <w:pStyle w:val="222"/>
        <w:spacing w:before="120" w:after="120" w:line="460" w:lineRule="exact"/>
        <w:jc w:val="left"/>
        <w:rPr>
          <w:rFonts w:hAnsi="宋体" w:cs="Angsana New"/>
          <w:color w:val="auto"/>
          <w:sz w:val="21"/>
          <w:szCs w:val="21"/>
          <w:highlight w:val="none"/>
          <w:lang w:bidi="th-TH"/>
        </w:rPr>
      </w:pPr>
      <w:r>
        <w:rPr>
          <w:rFonts w:hint="eastAsia" w:hAnsi="宋体" w:cs="Angsana New"/>
          <w:color w:val="auto"/>
          <w:sz w:val="21"/>
          <w:szCs w:val="21"/>
          <w:highlight w:val="none"/>
          <w:lang w:bidi="th-TH"/>
        </w:rPr>
        <w:t>经营期限：</w:t>
      </w:r>
      <w:r>
        <w:rPr>
          <w:rFonts w:hint="eastAsia" w:hAnsi="宋体" w:cs="Angsana New"/>
          <w:color w:val="auto"/>
          <w:sz w:val="21"/>
          <w:szCs w:val="21"/>
          <w:highlight w:val="none"/>
          <w:u w:val="single"/>
          <w:lang w:bidi="th-TH"/>
        </w:rPr>
        <w:t xml:space="preserve">                                  </w:t>
      </w:r>
    </w:p>
    <w:p w14:paraId="564EB3FD">
      <w:pPr>
        <w:pStyle w:val="222"/>
        <w:spacing w:before="120" w:after="120" w:line="460" w:lineRule="exact"/>
        <w:jc w:val="left"/>
        <w:rPr>
          <w:rFonts w:hAnsi="宋体" w:cs="Angsana New"/>
          <w:color w:val="auto"/>
          <w:sz w:val="21"/>
          <w:szCs w:val="21"/>
          <w:highlight w:val="none"/>
          <w:lang w:bidi="th-TH"/>
        </w:rPr>
      </w:pPr>
      <w:r>
        <w:rPr>
          <w:rFonts w:hint="eastAsia" w:hAnsi="宋体" w:cs="Angsana New"/>
          <w:color w:val="auto"/>
          <w:sz w:val="21"/>
          <w:szCs w:val="21"/>
          <w:highlight w:val="none"/>
          <w:lang w:bidi="th-TH"/>
        </w:rPr>
        <w:t xml:space="preserve">姓名： </w:t>
      </w:r>
      <w:r>
        <w:rPr>
          <w:rFonts w:hint="eastAsia" w:hAnsi="宋体" w:cs="Angsana New"/>
          <w:color w:val="auto"/>
          <w:sz w:val="21"/>
          <w:szCs w:val="21"/>
          <w:highlight w:val="none"/>
          <w:u w:val="single"/>
          <w:lang w:bidi="th-TH"/>
        </w:rPr>
        <w:t xml:space="preserve">      </w:t>
      </w:r>
      <w:r>
        <w:rPr>
          <w:rFonts w:hint="eastAsia" w:hAnsi="宋体" w:cs="Angsana New"/>
          <w:color w:val="auto"/>
          <w:sz w:val="21"/>
          <w:szCs w:val="21"/>
          <w:highlight w:val="none"/>
          <w:lang w:bidi="th-TH"/>
        </w:rPr>
        <w:t>性别：</w:t>
      </w:r>
      <w:r>
        <w:rPr>
          <w:rFonts w:hint="eastAsia" w:hAnsi="宋体" w:cs="Angsana New"/>
          <w:color w:val="auto"/>
          <w:sz w:val="21"/>
          <w:szCs w:val="21"/>
          <w:highlight w:val="none"/>
          <w:u w:val="single"/>
          <w:lang w:bidi="th-TH"/>
        </w:rPr>
        <w:t xml:space="preserve">      </w:t>
      </w:r>
      <w:r>
        <w:rPr>
          <w:rFonts w:hint="eastAsia" w:hAnsi="宋体" w:cs="Angsana New"/>
          <w:color w:val="auto"/>
          <w:sz w:val="21"/>
          <w:szCs w:val="21"/>
          <w:highlight w:val="none"/>
          <w:lang w:bidi="th-TH"/>
        </w:rPr>
        <w:t xml:space="preserve"> 年龄： </w:t>
      </w:r>
      <w:r>
        <w:rPr>
          <w:rFonts w:hint="eastAsia" w:hAnsi="宋体" w:cs="Angsana New"/>
          <w:color w:val="auto"/>
          <w:sz w:val="21"/>
          <w:szCs w:val="21"/>
          <w:highlight w:val="none"/>
          <w:u w:val="single"/>
          <w:lang w:bidi="th-TH"/>
        </w:rPr>
        <w:t xml:space="preserve">      </w:t>
      </w:r>
      <w:r>
        <w:rPr>
          <w:rFonts w:hint="eastAsia" w:hAnsi="宋体" w:cs="Angsana New"/>
          <w:color w:val="auto"/>
          <w:sz w:val="21"/>
          <w:szCs w:val="21"/>
          <w:highlight w:val="none"/>
          <w:lang w:bidi="th-TH"/>
        </w:rPr>
        <w:t>职务：</w:t>
      </w:r>
      <w:r>
        <w:rPr>
          <w:rFonts w:hint="eastAsia" w:hAnsi="宋体" w:cs="Angsana New"/>
          <w:color w:val="auto"/>
          <w:sz w:val="21"/>
          <w:szCs w:val="21"/>
          <w:highlight w:val="none"/>
          <w:u w:val="single"/>
          <w:lang w:bidi="th-TH"/>
        </w:rPr>
        <w:t xml:space="preserve">      </w:t>
      </w:r>
    </w:p>
    <w:p w14:paraId="0B6BA4CE">
      <w:pPr>
        <w:pStyle w:val="222"/>
        <w:spacing w:before="120" w:after="120" w:line="460" w:lineRule="exact"/>
        <w:jc w:val="left"/>
        <w:rPr>
          <w:rFonts w:hAnsi="宋体" w:cs="Angsana New"/>
          <w:color w:val="auto"/>
          <w:sz w:val="21"/>
          <w:szCs w:val="21"/>
          <w:highlight w:val="none"/>
          <w:lang w:bidi="th-TH"/>
        </w:rPr>
      </w:pPr>
      <w:r>
        <w:rPr>
          <w:rFonts w:hint="eastAsia" w:hAnsi="宋体" w:cs="Angsana New"/>
          <w:color w:val="auto"/>
          <w:sz w:val="21"/>
          <w:szCs w:val="21"/>
          <w:highlight w:val="none"/>
          <w:lang w:bidi="th-TH"/>
        </w:rPr>
        <w:t>系</w:t>
      </w:r>
      <w:r>
        <w:rPr>
          <w:rFonts w:hint="eastAsia" w:hAnsi="宋体" w:cs="Angsana New"/>
          <w:color w:val="auto"/>
          <w:sz w:val="21"/>
          <w:szCs w:val="21"/>
          <w:highlight w:val="none"/>
          <w:u w:val="single"/>
          <w:lang w:bidi="th-TH"/>
        </w:rPr>
        <w:t>（投标人）</w:t>
      </w:r>
      <w:r>
        <w:rPr>
          <w:rFonts w:hint="eastAsia" w:hAnsi="宋体" w:cs="Angsana New"/>
          <w:color w:val="auto"/>
          <w:sz w:val="21"/>
          <w:szCs w:val="21"/>
          <w:highlight w:val="none"/>
          <w:lang w:bidi="th-TH"/>
        </w:rPr>
        <w:t>的法定代表人。</w:t>
      </w:r>
    </w:p>
    <w:p w14:paraId="490FB1F6">
      <w:pPr>
        <w:pStyle w:val="222"/>
        <w:spacing w:before="120" w:after="120" w:line="460" w:lineRule="exact"/>
        <w:jc w:val="left"/>
        <w:rPr>
          <w:rFonts w:hAnsi="宋体" w:cs="Angsana New"/>
          <w:color w:val="auto"/>
          <w:sz w:val="21"/>
          <w:szCs w:val="21"/>
          <w:highlight w:val="none"/>
          <w:lang w:bidi="th-TH"/>
        </w:rPr>
      </w:pPr>
      <w:r>
        <w:rPr>
          <w:rFonts w:hint="eastAsia" w:hAnsi="宋体" w:cs="Angsana New"/>
          <w:color w:val="auto"/>
          <w:sz w:val="21"/>
          <w:szCs w:val="21"/>
          <w:highlight w:val="none"/>
          <w:lang w:bidi="th-TH"/>
        </w:rPr>
        <w:t>特此证明。</w:t>
      </w:r>
    </w:p>
    <w:p w14:paraId="00E1B36D">
      <w:pPr>
        <w:pStyle w:val="222"/>
        <w:spacing w:before="120" w:after="120" w:line="460" w:lineRule="exact"/>
        <w:jc w:val="left"/>
        <w:rPr>
          <w:rFonts w:hAnsi="宋体" w:cs="Angsana New"/>
          <w:color w:val="auto"/>
          <w:sz w:val="21"/>
          <w:szCs w:val="21"/>
          <w:highlight w:val="none"/>
          <w:lang w:bidi="th-TH"/>
        </w:rPr>
      </w:pPr>
      <w:r>
        <w:rPr>
          <w:color w:val="auto"/>
          <w:highlight w:val="none"/>
        </w:rPr>
        <w:pict>
          <v:rect id="矩形 1" o:spid="_x0000_s1027" o:spt="1" style="position:absolute;left:0pt;margin-left:1.55pt;margin-top:8.9pt;height:85.8pt;width:153pt;z-index:251659264;mso-width-relative:page;mso-height-relative:page;" coordsize="21600,216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">
            <v:path/>
            <v:fill focussize="0,0"/>
            <v:stroke/>
            <v:imagedata o:title=""/>
            <o:lock v:ext="edit"/>
            <v:textbox>
              <w:txbxContent>
                <w:p w14:paraId="36CCFF4E">
                  <w:pPr>
                    <w:jc w:val="center"/>
                    <w:rPr>
                      <w:rFonts w:ascii="宋体" w:hAnsi="宋体"/>
                      <w:sz w:val="24"/>
                    </w:rPr>
                  </w:pPr>
                </w:p>
                <w:p w14:paraId="4FE00BDB">
                  <w:pPr>
                    <w:jc w:val="center"/>
                    <w:rPr>
                      <w:rFonts w:ascii="宋体" w:hAnsi="宋体"/>
                      <w:szCs w:val="21"/>
                    </w:rPr>
                  </w:pPr>
                  <w:r>
                    <w:rPr>
                      <w:rFonts w:hint="eastAsia" w:ascii="宋体" w:hAnsi="宋体"/>
                      <w:szCs w:val="21"/>
                    </w:rPr>
                    <w:t>法定代表人身份证复印于此</w:t>
                  </w:r>
                </w:p>
                <w:p w14:paraId="457DF56B"/>
              </w:txbxContent>
            </v:textbox>
          </v:rect>
        </w:pict>
      </w:r>
    </w:p>
    <w:p w14:paraId="1C6FCA99">
      <w:pPr>
        <w:pStyle w:val="222"/>
        <w:spacing w:before="120" w:after="120" w:line="460" w:lineRule="exact"/>
        <w:ind w:firstLine="4819"/>
        <w:jc w:val="left"/>
        <w:rPr>
          <w:rFonts w:hAnsi="宋体" w:cs="Angsana New"/>
          <w:color w:val="auto"/>
          <w:sz w:val="21"/>
          <w:szCs w:val="21"/>
          <w:highlight w:val="none"/>
          <w:u w:val="single"/>
          <w:lang w:bidi="th-TH"/>
        </w:rPr>
      </w:pPr>
      <w:r>
        <w:rPr>
          <w:rFonts w:hint="eastAsia" w:hAnsi="宋体" w:cs="Angsana New"/>
          <w:color w:val="auto"/>
          <w:sz w:val="21"/>
          <w:szCs w:val="21"/>
          <w:highlight w:val="none"/>
          <w:lang w:bidi="th-TH"/>
        </w:rPr>
        <w:t>投标人（盖章）：</w:t>
      </w:r>
      <w:r>
        <w:rPr>
          <w:rFonts w:hint="eastAsia" w:hAnsi="宋体" w:cs="Angsana New"/>
          <w:color w:val="auto"/>
          <w:sz w:val="21"/>
          <w:szCs w:val="21"/>
          <w:highlight w:val="none"/>
          <w:u w:val="single"/>
          <w:lang w:bidi="th-TH"/>
        </w:rPr>
        <w:t xml:space="preserve">             </w:t>
      </w:r>
    </w:p>
    <w:p w14:paraId="653559DD">
      <w:pPr>
        <w:pStyle w:val="222"/>
        <w:spacing w:before="120" w:after="120" w:line="460" w:lineRule="exact"/>
        <w:ind w:firstLine="4819"/>
        <w:jc w:val="left"/>
        <w:rPr>
          <w:rFonts w:hAnsi="宋体" w:cs="Angsana New"/>
          <w:color w:val="auto"/>
          <w:sz w:val="24"/>
          <w:szCs w:val="24"/>
          <w:highlight w:val="none"/>
          <w:lang w:bidi="th-TH"/>
        </w:rPr>
      </w:pPr>
      <w:r>
        <w:rPr>
          <w:rFonts w:hint="eastAsia" w:hAnsi="宋体" w:cs="Angsana New"/>
          <w:color w:val="auto"/>
          <w:sz w:val="21"/>
          <w:szCs w:val="21"/>
          <w:highlight w:val="none"/>
          <w:lang w:bidi="th-TH"/>
        </w:rPr>
        <w:t>日期：</w:t>
      </w:r>
      <w:r>
        <w:rPr>
          <w:rFonts w:hint="eastAsia" w:hAnsi="宋体" w:cs="Angsana New"/>
          <w:color w:val="auto"/>
          <w:sz w:val="21"/>
          <w:szCs w:val="21"/>
          <w:highlight w:val="none"/>
          <w:u w:val="single"/>
          <w:lang w:bidi="th-TH"/>
        </w:rPr>
        <w:t xml:space="preserve">      </w:t>
      </w:r>
      <w:r>
        <w:rPr>
          <w:rFonts w:hint="eastAsia" w:hAnsi="宋体" w:cs="Angsana New"/>
          <w:color w:val="auto"/>
          <w:sz w:val="21"/>
          <w:szCs w:val="21"/>
          <w:highlight w:val="none"/>
          <w:lang w:bidi="th-TH"/>
        </w:rPr>
        <w:t>年</w:t>
      </w:r>
      <w:r>
        <w:rPr>
          <w:rFonts w:hint="eastAsia" w:hAnsi="宋体" w:cs="Angsana New"/>
          <w:color w:val="auto"/>
          <w:sz w:val="21"/>
          <w:szCs w:val="21"/>
          <w:highlight w:val="none"/>
          <w:u w:val="single"/>
          <w:lang w:bidi="th-TH"/>
        </w:rPr>
        <w:t xml:space="preserve">     </w:t>
      </w:r>
      <w:r>
        <w:rPr>
          <w:rFonts w:hint="eastAsia" w:hAnsi="宋体" w:cs="Angsana New"/>
          <w:color w:val="auto"/>
          <w:sz w:val="21"/>
          <w:szCs w:val="21"/>
          <w:highlight w:val="none"/>
          <w:lang w:bidi="th-TH"/>
        </w:rPr>
        <w:t>月</w:t>
      </w:r>
      <w:r>
        <w:rPr>
          <w:rFonts w:hint="eastAsia" w:hAnsi="宋体" w:cs="Angsana New"/>
          <w:color w:val="auto"/>
          <w:sz w:val="21"/>
          <w:szCs w:val="21"/>
          <w:highlight w:val="none"/>
          <w:u w:val="single"/>
          <w:lang w:bidi="th-TH"/>
        </w:rPr>
        <w:t xml:space="preserve">    </w:t>
      </w:r>
      <w:r>
        <w:rPr>
          <w:rFonts w:hint="eastAsia" w:hAnsi="宋体" w:cs="Angsana New"/>
          <w:color w:val="auto"/>
          <w:sz w:val="21"/>
          <w:szCs w:val="21"/>
          <w:highlight w:val="none"/>
          <w:lang w:bidi="th-TH"/>
        </w:rPr>
        <w:t>日</w:t>
      </w:r>
      <w:r>
        <w:rPr>
          <w:rFonts w:hAnsi="宋体" w:cs="Angsana New"/>
          <w:color w:val="auto"/>
          <w:sz w:val="21"/>
          <w:szCs w:val="21"/>
          <w:highlight w:val="none"/>
          <w:lang w:bidi="th-TH"/>
        </w:rPr>
        <w:br w:type="page" w:clear="all"/>
      </w:r>
      <w:r>
        <w:rPr>
          <w:rFonts w:hint="eastAsia" w:hAnsi="宋体" w:cs="Angsana New"/>
          <w:color w:val="auto"/>
          <w:sz w:val="24"/>
          <w:szCs w:val="24"/>
          <w:highlight w:val="none"/>
          <w:lang w:bidi="th-TH"/>
        </w:rPr>
        <w:t>格式二：</w:t>
      </w:r>
    </w:p>
    <w:p w14:paraId="68B3138D">
      <w:pPr>
        <w:pStyle w:val="222"/>
        <w:spacing w:before="120" w:after="120" w:line="460" w:lineRule="exact"/>
        <w:jc w:val="center"/>
        <w:rPr>
          <w:rFonts w:hAnsi="宋体"/>
          <w:b/>
          <w:color w:val="auto"/>
          <w:szCs w:val="28"/>
          <w:highlight w:val="none"/>
        </w:rPr>
      </w:pPr>
    </w:p>
    <w:p w14:paraId="25C49C8C">
      <w:pPr>
        <w:pStyle w:val="222"/>
        <w:spacing w:before="120" w:after="120" w:line="460" w:lineRule="exact"/>
        <w:jc w:val="center"/>
        <w:rPr>
          <w:rFonts w:hAnsi="宋体"/>
          <w:b/>
          <w:color w:val="auto"/>
          <w:szCs w:val="28"/>
          <w:highlight w:val="none"/>
        </w:rPr>
      </w:pPr>
      <w:r>
        <w:rPr>
          <w:rFonts w:hint="eastAsia" w:hAnsi="宋体"/>
          <w:b/>
          <w:color w:val="auto"/>
          <w:szCs w:val="28"/>
          <w:highlight w:val="none"/>
        </w:rPr>
        <w:t>投标人的法定代表人授权委托书</w:t>
      </w:r>
    </w:p>
    <w:p w14:paraId="3AF1DCED">
      <w:pPr>
        <w:pStyle w:val="222"/>
        <w:spacing w:before="120" w:after="120" w:line="460" w:lineRule="exact"/>
        <w:ind w:firstLine="420"/>
        <w:jc w:val="left"/>
        <w:rPr>
          <w:rFonts w:hAnsi="宋体" w:cs="Angsana New"/>
          <w:color w:val="auto"/>
          <w:sz w:val="21"/>
          <w:szCs w:val="21"/>
          <w:highlight w:val="none"/>
          <w:lang w:bidi="th-TH"/>
        </w:rPr>
      </w:pPr>
      <w:r>
        <w:rPr>
          <w:rFonts w:hint="eastAsia" w:hAnsi="宋体" w:cs="Angsana New"/>
          <w:color w:val="auto"/>
          <w:sz w:val="21"/>
          <w:szCs w:val="21"/>
          <w:highlight w:val="none"/>
          <w:lang w:bidi="th-TH"/>
        </w:rPr>
        <w:t>本授权委托书声明：我</w:t>
      </w:r>
      <w:r>
        <w:rPr>
          <w:rFonts w:hint="eastAsia" w:hAnsi="宋体" w:cs="Angsana New"/>
          <w:color w:val="auto"/>
          <w:sz w:val="21"/>
          <w:szCs w:val="21"/>
          <w:highlight w:val="none"/>
          <w:u w:val="single"/>
          <w:lang w:bidi="th-TH"/>
        </w:rPr>
        <w:t>（姓名）</w:t>
      </w:r>
      <w:r>
        <w:rPr>
          <w:rFonts w:hint="eastAsia" w:hAnsi="宋体" w:cs="Angsana New"/>
          <w:color w:val="auto"/>
          <w:sz w:val="21"/>
          <w:szCs w:val="21"/>
          <w:highlight w:val="none"/>
          <w:lang w:bidi="th-TH"/>
        </w:rPr>
        <w:t>系</w:t>
      </w:r>
      <w:r>
        <w:rPr>
          <w:rFonts w:hint="eastAsia" w:hAnsi="宋体" w:cs="Angsana New"/>
          <w:color w:val="auto"/>
          <w:sz w:val="21"/>
          <w:szCs w:val="21"/>
          <w:highlight w:val="none"/>
          <w:u w:val="single"/>
          <w:lang w:bidi="th-TH"/>
        </w:rPr>
        <w:t>（投标人名称）</w:t>
      </w:r>
      <w:r>
        <w:rPr>
          <w:rFonts w:hint="eastAsia" w:hAnsi="宋体" w:cs="Angsana New"/>
          <w:color w:val="auto"/>
          <w:sz w:val="21"/>
          <w:szCs w:val="21"/>
          <w:highlight w:val="none"/>
          <w:lang w:bidi="th-TH"/>
        </w:rPr>
        <w:t>的法定代表人，现授权委托</w:t>
      </w:r>
      <w:r>
        <w:rPr>
          <w:rFonts w:hint="eastAsia" w:hAnsi="宋体" w:cs="Angsana New"/>
          <w:color w:val="auto"/>
          <w:sz w:val="21"/>
          <w:szCs w:val="21"/>
          <w:highlight w:val="none"/>
          <w:u w:val="single"/>
          <w:lang w:bidi="th-TH"/>
        </w:rPr>
        <w:t>（单位名称）</w:t>
      </w:r>
      <w:r>
        <w:rPr>
          <w:rFonts w:hint="eastAsia" w:hAnsi="宋体" w:cs="Angsana New"/>
          <w:color w:val="auto"/>
          <w:sz w:val="21"/>
          <w:szCs w:val="21"/>
          <w:highlight w:val="none"/>
          <w:lang w:bidi="th-TH"/>
        </w:rPr>
        <w:t>的</w:t>
      </w:r>
      <w:r>
        <w:rPr>
          <w:rFonts w:hint="eastAsia" w:hAnsi="宋体" w:cs="Angsana New"/>
          <w:color w:val="auto"/>
          <w:sz w:val="21"/>
          <w:szCs w:val="21"/>
          <w:highlight w:val="none"/>
          <w:u w:val="single"/>
          <w:lang w:bidi="th-TH"/>
        </w:rPr>
        <w:t>（姓名）</w:t>
      </w:r>
      <w:r>
        <w:rPr>
          <w:rFonts w:hint="eastAsia" w:hAnsi="宋体" w:cs="Angsana New"/>
          <w:color w:val="auto"/>
          <w:sz w:val="21"/>
          <w:szCs w:val="21"/>
          <w:highlight w:val="none"/>
          <w:lang w:bidi="th-TH"/>
        </w:rPr>
        <w:t>为我公司的代理人，以本公司的名义参加（</w:t>
      </w:r>
      <w:r>
        <w:rPr>
          <w:rFonts w:hint="eastAsia" w:hAnsi="宋体" w:cs="Angsana New"/>
          <w:color w:val="auto"/>
          <w:sz w:val="21"/>
          <w:szCs w:val="21"/>
          <w:highlight w:val="none"/>
          <w:u w:val="single"/>
          <w:lang w:bidi="th-TH"/>
        </w:rPr>
        <w:t>招标项目名称）</w:t>
      </w:r>
      <w:r>
        <w:rPr>
          <w:rFonts w:hint="eastAsia" w:hAnsi="宋体" w:cs="Angsana New"/>
          <w:color w:val="auto"/>
          <w:sz w:val="21"/>
          <w:szCs w:val="21"/>
          <w:highlight w:val="none"/>
          <w:lang w:bidi="th-TH"/>
        </w:rPr>
        <w:t>的投标活动。代理人在开标、评标、合同谈判过程中所签署的一切文件和处理与之有关的一切事务，我均予以承认。</w:t>
      </w:r>
    </w:p>
    <w:p w14:paraId="47DFEBD1">
      <w:pPr>
        <w:pStyle w:val="222"/>
        <w:spacing w:before="120" w:after="120" w:line="460" w:lineRule="exact"/>
        <w:jc w:val="left"/>
        <w:rPr>
          <w:rFonts w:hAnsi="宋体" w:cs="Angsana New"/>
          <w:color w:val="auto"/>
          <w:sz w:val="21"/>
          <w:szCs w:val="21"/>
          <w:highlight w:val="none"/>
          <w:lang w:bidi="th-TH"/>
        </w:rPr>
      </w:pPr>
      <w:r>
        <w:rPr>
          <w:rFonts w:hint="eastAsia" w:hAnsi="宋体" w:cs="Angsana New"/>
          <w:color w:val="auto"/>
          <w:sz w:val="21"/>
          <w:szCs w:val="21"/>
          <w:highlight w:val="none"/>
          <w:lang w:bidi="th-TH"/>
        </w:rPr>
        <w:t xml:space="preserve">代理人：                性别：           年龄：        </w:t>
      </w:r>
    </w:p>
    <w:p w14:paraId="101F52E1">
      <w:pPr>
        <w:pStyle w:val="222"/>
        <w:spacing w:before="120" w:after="120" w:line="460" w:lineRule="exact"/>
        <w:jc w:val="left"/>
        <w:rPr>
          <w:rFonts w:hAnsi="宋体" w:cs="Angsana New"/>
          <w:color w:val="auto"/>
          <w:sz w:val="21"/>
          <w:szCs w:val="21"/>
          <w:highlight w:val="none"/>
          <w:lang w:bidi="th-TH"/>
        </w:rPr>
      </w:pPr>
      <w:r>
        <w:rPr>
          <w:rFonts w:hint="eastAsia" w:hAnsi="宋体" w:cs="Angsana New"/>
          <w:color w:val="auto"/>
          <w:sz w:val="21"/>
          <w:szCs w:val="21"/>
          <w:highlight w:val="none"/>
          <w:lang w:bidi="th-TH"/>
        </w:rPr>
        <w:t>单位：                  部门：           职务：</w:t>
      </w:r>
    </w:p>
    <w:p w14:paraId="69437840">
      <w:pPr>
        <w:pStyle w:val="222"/>
        <w:spacing w:before="120" w:after="120" w:line="460" w:lineRule="exact"/>
        <w:jc w:val="left"/>
        <w:rPr>
          <w:rFonts w:hAnsi="宋体" w:cs="Angsana New"/>
          <w:color w:val="auto"/>
          <w:sz w:val="21"/>
          <w:szCs w:val="21"/>
          <w:highlight w:val="none"/>
          <w:lang w:bidi="th-TH"/>
        </w:rPr>
      </w:pPr>
      <w:r>
        <w:rPr>
          <w:rFonts w:hint="eastAsia" w:hAnsi="宋体" w:cs="Angsana New"/>
          <w:color w:val="auto"/>
          <w:sz w:val="21"/>
          <w:szCs w:val="21"/>
          <w:highlight w:val="none"/>
          <w:lang w:bidi="th-TH"/>
        </w:rPr>
        <w:t>代理人无转委托权。特此委托。</w:t>
      </w:r>
    </w:p>
    <w:p w14:paraId="2EB03994">
      <w:pPr>
        <w:pStyle w:val="222"/>
        <w:spacing w:before="120" w:after="120" w:line="460" w:lineRule="exact"/>
        <w:jc w:val="left"/>
        <w:rPr>
          <w:rFonts w:hAnsi="宋体" w:cs="Angsana New"/>
          <w:color w:val="auto"/>
          <w:sz w:val="21"/>
          <w:szCs w:val="21"/>
          <w:highlight w:val="none"/>
          <w:lang w:bidi="th-TH"/>
        </w:rPr>
      </w:pPr>
      <w:r>
        <w:rPr>
          <w:color w:val="auto"/>
          <w:highlight w:val="none"/>
        </w:rPr>
        <w:pict>
          <v:rect id="_x0000_s1026" o:spid="_x0000_s1026" o:spt="1" style="position:absolute;left:0pt;margin-left:3.3pt;margin-top:1.8pt;height:85.8pt;width:153pt;z-index:251659264;mso-width-relative:page;mso-height-relative:page;" coordsize="21600,216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">
            <v:path/>
            <v:fill focussize="0,0"/>
            <v:stroke/>
            <v:imagedata o:title=""/>
            <o:lock v:ext="edit"/>
            <v:textbox>
              <w:txbxContent>
                <w:p w14:paraId="2BC8797D">
                  <w:pPr>
                    <w:jc w:val="center"/>
                    <w:rPr>
                      <w:rFonts w:ascii="宋体" w:hAnsi="宋体"/>
                      <w:sz w:val="24"/>
                    </w:rPr>
                  </w:pPr>
                </w:p>
                <w:p w14:paraId="3C7ADE87">
                  <w:pPr>
                    <w:jc w:val="center"/>
                    <w:rPr>
                      <w:rFonts w:ascii="宋体" w:hAnsi="宋体"/>
                      <w:szCs w:val="21"/>
                    </w:rPr>
                  </w:pPr>
                  <w:r>
                    <w:rPr>
                      <w:rFonts w:hint="eastAsia" w:ascii="宋体" w:hAnsi="宋体"/>
                      <w:szCs w:val="21"/>
                    </w:rPr>
                    <w:t>授权委托人身份证复印于此</w:t>
                  </w:r>
                </w:p>
                <w:p w14:paraId="39326374"/>
              </w:txbxContent>
            </v:textbox>
          </v:rect>
        </w:pict>
      </w:r>
    </w:p>
    <w:p w14:paraId="5CEADB30">
      <w:pPr>
        <w:pStyle w:val="222"/>
        <w:spacing w:before="120" w:after="120" w:line="460" w:lineRule="exact"/>
        <w:jc w:val="left"/>
        <w:rPr>
          <w:rFonts w:hAnsi="宋体" w:cs="Angsana New"/>
          <w:color w:val="auto"/>
          <w:sz w:val="21"/>
          <w:szCs w:val="21"/>
          <w:highlight w:val="none"/>
          <w:lang w:bidi="th-TH"/>
        </w:rPr>
      </w:pPr>
    </w:p>
    <w:p w14:paraId="72C05056">
      <w:pPr>
        <w:pStyle w:val="222"/>
        <w:spacing w:before="120" w:after="120" w:line="460" w:lineRule="exact"/>
        <w:jc w:val="left"/>
        <w:rPr>
          <w:rFonts w:hAnsi="宋体" w:cs="Angsana New"/>
          <w:color w:val="auto"/>
          <w:sz w:val="21"/>
          <w:szCs w:val="21"/>
          <w:highlight w:val="none"/>
          <w:lang w:bidi="th-TH"/>
        </w:rPr>
      </w:pPr>
    </w:p>
    <w:p w14:paraId="760E92F0">
      <w:pPr>
        <w:pStyle w:val="222"/>
        <w:spacing w:before="120" w:after="120" w:line="460" w:lineRule="exact"/>
        <w:jc w:val="left"/>
        <w:rPr>
          <w:rFonts w:hAnsi="宋体" w:cs="Angsana New"/>
          <w:color w:val="auto"/>
          <w:sz w:val="21"/>
          <w:szCs w:val="21"/>
          <w:highlight w:val="none"/>
          <w:u w:val="single"/>
          <w:lang w:bidi="th-TH"/>
        </w:rPr>
      </w:pPr>
      <w:r>
        <w:rPr>
          <w:rFonts w:hint="eastAsia" w:hAnsi="宋体" w:cs="Angsana New"/>
          <w:color w:val="auto"/>
          <w:sz w:val="21"/>
          <w:szCs w:val="21"/>
          <w:highlight w:val="none"/>
          <w:lang w:bidi="th-TH"/>
        </w:rPr>
        <w:t>投标人（盖章）：</w:t>
      </w:r>
      <w:r>
        <w:rPr>
          <w:rFonts w:hint="eastAsia" w:hAnsi="宋体" w:cs="Angsana New"/>
          <w:color w:val="auto"/>
          <w:sz w:val="21"/>
          <w:szCs w:val="21"/>
          <w:highlight w:val="none"/>
          <w:u w:val="single"/>
          <w:lang w:bidi="th-TH"/>
        </w:rPr>
        <w:t xml:space="preserve">                 </w:t>
      </w:r>
    </w:p>
    <w:p w14:paraId="4B54036F">
      <w:pPr>
        <w:pStyle w:val="222"/>
        <w:spacing w:before="120" w:after="120" w:line="460" w:lineRule="exact"/>
        <w:jc w:val="left"/>
        <w:rPr>
          <w:rFonts w:hAnsi="宋体" w:cs="Angsana New"/>
          <w:color w:val="auto"/>
          <w:sz w:val="21"/>
          <w:szCs w:val="21"/>
          <w:highlight w:val="none"/>
          <w:lang w:bidi="th-TH"/>
        </w:rPr>
      </w:pPr>
      <w:r>
        <w:rPr>
          <w:rFonts w:hint="eastAsia" w:hAnsi="宋体" w:cs="Angsana New"/>
          <w:color w:val="auto"/>
          <w:sz w:val="21"/>
          <w:szCs w:val="21"/>
          <w:highlight w:val="none"/>
          <w:lang w:bidi="th-TH"/>
        </w:rPr>
        <w:t>法定代表人（签字或盖章）：</w:t>
      </w:r>
      <w:r>
        <w:rPr>
          <w:rFonts w:hint="eastAsia" w:hAnsi="宋体" w:cs="Angsana New"/>
          <w:color w:val="auto"/>
          <w:sz w:val="21"/>
          <w:szCs w:val="21"/>
          <w:highlight w:val="none"/>
          <w:u w:val="single"/>
          <w:lang w:bidi="th-TH"/>
        </w:rPr>
        <w:t xml:space="preserve">        </w:t>
      </w:r>
    </w:p>
    <w:p w14:paraId="68BA8061">
      <w:pPr>
        <w:pStyle w:val="222"/>
        <w:spacing w:before="120" w:after="120" w:line="460" w:lineRule="exact"/>
        <w:jc w:val="left"/>
        <w:rPr>
          <w:rFonts w:hAnsi="宋体" w:cs="Angsana New"/>
          <w:color w:val="auto"/>
          <w:sz w:val="21"/>
          <w:szCs w:val="21"/>
          <w:highlight w:val="none"/>
          <w:lang w:bidi="th-TH"/>
        </w:rPr>
      </w:pPr>
      <w:r>
        <w:rPr>
          <w:rFonts w:hint="eastAsia" w:hAnsi="宋体" w:cs="Angsana New"/>
          <w:color w:val="auto"/>
          <w:sz w:val="21"/>
          <w:szCs w:val="21"/>
          <w:highlight w:val="none"/>
          <w:lang w:bidi="th-TH"/>
        </w:rPr>
        <w:t>日期：</w:t>
      </w:r>
      <w:r>
        <w:rPr>
          <w:rFonts w:hint="eastAsia" w:hAnsi="宋体" w:cs="Angsana New"/>
          <w:color w:val="auto"/>
          <w:sz w:val="21"/>
          <w:szCs w:val="21"/>
          <w:highlight w:val="none"/>
          <w:u w:val="single"/>
          <w:lang w:bidi="th-TH"/>
        </w:rPr>
        <w:t xml:space="preserve">      </w:t>
      </w:r>
      <w:r>
        <w:rPr>
          <w:rFonts w:hint="eastAsia" w:hAnsi="宋体" w:cs="Angsana New"/>
          <w:color w:val="auto"/>
          <w:sz w:val="21"/>
          <w:szCs w:val="21"/>
          <w:highlight w:val="none"/>
          <w:lang w:bidi="th-TH"/>
        </w:rPr>
        <w:t>年</w:t>
      </w:r>
      <w:r>
        <w:rPr>
          <w:rFonts w:hint="eastAsia" w:hAnsi="宋体" w:cs="Angsana New"/>
          <w:color w:val="auto"/>
          <w:sz w:val="21"/>
          <w:szCs w:val="21"/>
          <w:highlight w:val="none"/>
          <w:u w:val="single"/>
          <w:lang w:bidi="th-TH"/>
        </w:rPr>
        <w:t xml:space="preserve">     </w:t>
      </w:r>
      <w:r>
        <w:rPr>
          <w:rFonts w:hint="eastAsia" w:hAnsi="宋体" w:cs="Angsana New"/>
          <w:color w:val="auto"/>
          <w:sz w:val="21"/>
          <w:szCs w:val="21"/>
          <w:highlight w:val="none"/>
          <w:lang w:bidi="th-TH"/>
        </w:rPr>
        <w:t>月</w:t>
      </w:r>
      <w:r>
        <w:rPr>
          <w:rFonts w:hint="eastAsia" w:hAnsi="宋体" w:cs="Angsana New"/>
          <w:color w:val="auto"/>
          <w:sz w:val="21"/>
          <w:szCs w:val="21"/>
          <w:highlight w:val="none"/>
          <w:u w:val="single"/>
          <w:lang w:bidi="th-TH"/>
        </w:rPr>
        <w:t xml:space="preserve">    </w:t>
      </w:r>
      <w:r>
        <w:rPr>
          <w:rFonts w:hint="eastAsia" w:hAnsi="宋体" w:cs="Angsana New"/>
          <w:color w:val="auto"/>
          <w:sz w:val="21"/>
          <w:szCs w:val="21"/>
          <w:highlight w:val="none"/>
          <w:lang w:bidi="th-TH"/>
        </w:rPr>
        <w:t xml:space="preserve">日 </w:t>
      </w:r>
    </w:p>
    <w:p w14:paraId="7101C3CD">
      <w:pPr>
        <w:spacing w:before="240" w:after="240"/>
        <w:rPr>
          <w:rFonts w:ascii="宋体" w:hAnsi="宋体"/>
          <w:color w:val="auto"/>
          <w:sz w:val="24"/>
          <w:highlight w:val="none"/>
        </w:rPr>
      </w:pPr>
      <w:r>
        <w:rPr>
          <w:rFonts w:hint="eastAsia" w:ascii="宋体" w:hAnsi="宋体"/>
          <w:color w:val="auto"/>
          <w:sz w:val="24"/>
          <w:highlight w:val="none"/>
        </w:rPr>
        <w:t xml:space="preserve"> </w:t>
      </w:r>
    </w:p>
    <w:p w14:paraId="3142B1AA">
      <w:pPr>
        <w:pStyle w:val="271"/>
        <w:rPr>
          <w:color w:val="auto"/>
          <w:highlight w:val="none"/>
          <w:u w:val="single"/>
          <w:lang w:bidi="th-TH"/>
        </w:rPr>
      </w:pPr>
    </w:p>
    <w:p w14:paraId="2F644D93">
      <w:pPr>
        <w:pStyle w:val="222"/>
        <w:spacing w:before="120" w:after="120" w:line="460" w:lineRule="exact"/>
        <w:jc w:val="left"/>
        <w:rPr>
          <w:rFonts w:hAnsi="宋体" w:cs="Angsana New"/>
          <w:color w:val="auto"/>
          <w:highlight w:val="none"/>
          <w:lang w:bidi="th-TH"/>
        </w:rPr>
      </w:pPr>
    </w:p>
    <w:p w14:paraId="400BFE9B">
      <w:pPr>
        <w:pStyle w:val="222"/>
        <w:spacing w:before="120" w:after="120" w:line="460" w:lineRule="exact"/>
        <w:rPr>
          <w:rFonts w:hAnsi="宋体" w:cs="Angsana New"/>
          <w:color w:val="auto"/>
          <w:sz w:val="24"/>
          <w:szCs w:val="24"/>
          <w:highlight w:val="none"/>
          <w:lang w:bidi="th-TH"/>
        </w:rPr>
      </w:pPr>
      <w:r>
        <w:rPr>
          <w:rFonts w:hAnsi="宋体" w:cs="Angsana New"/>
          <w:color w:val="auto"/>
          <w:highlight w:val="none"/>
          <w:lang w:bidi="th-TH"/>
        </w:rPr>
        <w:br w:type="page" w:clear="all"/>
      </w:r>
      <w:r>
        <w:rPr>
          <w:rFonts w:hint="eastAsia" w:hAnsi="宋体" w:cs="Angsana New"/>
          <w:color w:val="auto"/>
          <w:sz w:val="24"/>
          <w:szCs w:val="24"/>
          <w:highlight w:val="none"/>
          <w:lang w:bidi="th-TH"/>
        </w:rPr>
        <w:t>格式三：</w:t>
      </w:r>
    </w:p>
    <w:p w14:paraId="38CC9A04">
      <w:pPr>
        <w:pStyle w:val="222"/>
        <w:spacing w:before="120" w:after="120" w:line="460" w:lineRule="exact"/>
        <w:jc w:val="center"/>
        <w:rPr>
          <w:rFonts w:hAnsi="宋体"/>
          <w:b/>
          <w:color w:val="auto"/>
          <w:szCs w:val="28"/>
          <w:highlight w:val="none"/>
        </w:rPr>
      </w:pPr>
      <w:r>
        <w:rPr>
          <w:rFonts w:hint="eastAsia" w:hAnsi="宋体"/>
          <w:b/>
          <w:color w:val="auto"/>
          <w:szCs w:val="28"/>
          <w:highlight w:val="none"/>
        </w:rPr>
        <w:t>投标函</w:t>
      </w:r>
    </w:p>
    <w:p w14:paraId="38F2A316">
      <w:pPr>
        <w:spacing w:before="120" w:after="120"/>
        <w:rPr>
          <w:rFonts w:ascii="宋体" w:hAnsi="宋体"/>
          <w:color w:val="auto"/>
          <w:szCs w:val="21"/>
          <w:highlight w:val="none"/>
          <w:u w:val="single"/>
        </w:rPr>
      </w:pPr>
      <w:r>
        <w:rPr>
          <w:rFonts w:hint="eastAsia" w:ascii="宋体" w:hAnsi="宋体"/>
          <w:color w:val="auto"/>
          <w:szCs w:val="21"/>
          <w:highlight w:val="none"/>
        </w:rPr>
        <w:t>采购人：</w:t>
      </w:r>
      <w:r>
        <w:rPr>
          <w:rFonts w:hint="eastAsia" w:ascii="宋体" w:hAnsi="宋体"/>
          <w:b/>
          <w:bCs/>
          <w:color w:val="auto"/>
          <w:szCs w:val="21"/>
          <w:highlight w:val="none"/>
          <w:u w:val="single"/>
        </w:rPr>
        <w:t xml:space="preserve"> </w:t>
      </w:r>
      <w:r>
        <w:rPr>
          <w:rFonts w:ascii="宋体" w:hAnsi="宋体"/>
          <w:b/>
          <w:bCs/>
          <w:color w:val="auto"/>
          <w:szCs w:val="21"/>
          <w:highlight w:val="none"/>
          <w:u w:val="single"/>
        </w:rPr>
        <w:t xml:space="preserve">                      </w:t>
      </w:r>
    </w:p>
    <w:p w14:paraId="32E365C6">
      <w:pPr>
        <w:spacing w:line="420" w:lineRule="exact"/>
        <w:ind w:firstLine="480"/>
        <w:jc w:val="left"/>
        <w:rPr>
          <w:rFonts w:ascii="宋体" w:hAnsi="宋体"/>
          <w:color w:val="auto"/>
          <w:szCs w:val="21"/>
          <w:highlight w:val="none"/>
        </w:rPr>
      </w:pPr>
      <w:r>
        <w:rPr>
          <w:rFonts w:hint="eastAsia" w:ascii="宋体" w:hAnsi="宋体"/>
          <w:color w:val="auto"/>
          <w:szCs w:val="21"/>
          <w:highlight w:val="none"/>
        </w:rPr>
        <w:t>根据贵方的</w:t>
      </w:r>
      <w:r>
        <w:rPr>
          <w:rFonts w:hint="eastAsia" w:ascii="宋体" w:hAnsi="宋体"/>
          <w:b/>
          <w:color w:val="auto"/>
          <w:szCs w:val="21"/>
          <w:highlight w:val="none"/>
          <w:u w:val="single"/>
        </w:rPr>
        <w:t xml:space="preserve">           </w:t>
      </w:r>
      <w:r>
        <w:rPr>
          <w:rFonts w:hint="eastAsia" w:ascii="宋体" w:hAnsi="宋体"/>
          <w:color w:val="auto"/>
          <w:szCs w:val="21"/>
          <w:highlight w:val="none"/>
        </w:rPr>
        <w:t>号招标文件，正式授权下述签字人____________(姓名)代表我方______________（投标人的名称），全权处理本次项目投标的有关事宜。</w:t>
      </w:r>
    </w:p>
    <w:p w14:paraId="1F0B817E">
      <w:pPr>
        <w:spacing w:line="420" w:lineRule="exact"/>
        <w:ind w:firstLine="480"/>
        <w:jc w:val="left"/>
        <w:rPr>
          <w:rFonts w:ascii="宋体" w:hAnsi="宋体"/>
          <w:color w:val="auto"/>
          <w:szCs w:val="21"/>
          <w:highlight w:val="none"/>
        </w:rPr>
      </w:pPr>
      <w:r>
        <w:rPr>
          <w:rFonts w:hint="eastAsia" w:ascii="宋体" w:hAnsi="宋体"/>
          <w:color w:val="auto"/>
          <w:szCs w:val="21"/>
          <w:highlight w:val="none"/>
        </w:rPr>
        <w:t>据此函，__________签字人兹宣布同意如下：</w:t>
      </w:r>
    </w:p>
    <w:p w14:paraId="19E24ADA">
      <w:pPr>
        <w:spacing w:line="420" w:lineRule="exact"/>
        <w:ind w:firstLine="480"/>
        <w:jc w:val="left"/>
        <w:rPr>
          <w:rFonts w:ascii="宋体" w:hAnsi="宋体"/>
          <w:color w:val="auto"/>
          <w:szCs w:val="21"/>
          <w:highlight w:val="none"/>
        </w:rPr>
      </w:pPr>
      <w:r>
        <w:rPr>
          <w:rFonts w:hint="eastAsia" w:ascii="宋体" w:hAnsi="宋体"/>
          <w:color w:val="auto"/>
          <w:szCs w:val="21"/>
          <w:highlight w:val="none"/>
        </w:rPr>
        <w:t>1.按招标文件规定的各项要求，向买方提供所需货物与服务。</w:t>
      </w:r>
    </w:p>
    <w:p w14:paraId="36F2B6C2">
      <w:pPr>
        <w:spacing w:line="420" w:lineRule="exact"/>
        <w:ind w:firstLine="480"/>
        <w:jc w:val="left"/>
        <w:rPr>
          <w:rFonts w:ascii="宋体" w:hAnsi="宋体"/>
          <w:color w:val="auto"/>
          <w:szCs w:val="21"/>
          <w:highlight w:val="none"/>
        </w:rPr>
      </w:pPr>
      <w:r>
        <w:rPr>
          <w:rFonts w:hint="eastAsia" w:ascii="宋体" w:hAnsi="宋体"/>
          <w:color w:val="auto"/>
          <w:szCs w:val="21"/>
          <w:highlight w:val="none"/>
        </w:rPr>
        <w:t>2.我们完全理解贵方不一定将合同授予最低报价的投标人。</w:t>
      </w:r>
    </w:p>
    <w:p w14:paraId="1B85C524">
      <w:pPr>
        <w:spacing w:line="420" w:lineRule="exact"/>
        <w:ind w:firstLine="480"/>
        <w:jc w:val="left"/>
        <w:rPr>
          <w:rFonts w:ascii="宋体" w:hAnsi="宋体"/>
          <w:color w:val="auto"/>
          <w:szCs w:val="21"/>
          <w:highlight w:val="none"/>
        </w:rPr>
      </w:pPr>
      <w:r>
        <w:rPr>
          <w:rFonts w:hint="eastAsia" w:ascii="宋体" w:hAnsi="宋体"/>
          <w:color w:val="auto"/>
          <w:szCs w:val="21"/>
          <w:highlight w:val="none"/>
        </w:rPr>
        <w:t>3.我们已详细审核全部招标文件及其有效补充文件，我们知道必须放弃提出含糊不清或误解问题的权利。</w:t>
      </w:r>
    </w:p>
    <w:p w14:paraId="16D6D97A">
      <w:pPr>
        <w:spacing w:line="420" w:lineRule="exact"/>
        <w:ind w:firstLine="480"/>
        <w:jc w:val="left"/>
        <w:rPr>
          <w:rFonts w:ascii="宋体" w:hAnsi="宋体"/>
          <w:color w:val="auto"/>
          <w:szCs w:val="21"/>
          <w:highlight w:val="none"/>
        </w:rPr>
      </w:pPr>
      <w:r>
        <w:rPr>
          <w:rFonts w:hint="eastAsia" w:ascii="宋体" w:hAnsi="宋体"/>
          <w:color w:val="auto"/>
          <w:szCs w:val="21"/>
          <w:highlight w:val="none"/>
        </w:rPr>
        <w:t>4.我们同意从规定的开标日期起遵循本投标文件，并在规定的投标有效期期满之前均具有约束力。</w:t>
      </w:r>
    </w:p>
    <w:p w14:paraId="2344700F">
      <w:pPr>
        <w:spacing w:line="420" w:lineRule="exact"/>
        <w:ind w:firstLine="480"/>
        <w:jc w:val="left"/>
        <w:rPr>
          <w:rFonts w:ascii="宋体" w:hAnsi="宋体"/>
          <w:color w:val="auto"/>
          <w:szCs w:val="21"/>
          <w:highlight w:val="none"/>
        </w:rPr>
      </w:pPr>
      <w:r>
        <w:rPr>
          <w:rFonts w:hint="eastAsia" w:ascii="宋体" w:hAnsi="宋体"/>
          <w:color w:val="auto"/>
          <w:szCs w:val="21"/>
          <w:highlight w:val="none"/>
        </w:rPr>
        <w:t>5.如果在开标后规定的投标有效期内撤回投标或中标后拒绝签订合同，则按照国家相关法律法规受到相应处罚。</w:t>
      </w:r>
    </w:p>
    <w:p w14:paraId="330F79B8">
      <w:pPr>
        <w:spacing w:line="420" w:lineRule="exact"/>
        <w:ind w:firstLine="480"/>
        <w:jc w:val="left"/>
        <w:rPr>
          <w:rFonts w:ascii="宋体" w:hAnsi="宋体"/>
          <w:color w:val="auto"/>
          <w:szCs w:val="21"/>
          <w:highlight w:val="none"/>
        </w:rPr>
      </w:pPr>
      <w:r>
        <w:rPr>
          <w:rFonts w:hint="eastAsia" w:ascii="宋体" w:hAnsi="宋体"/>
          <w:color w:val="auto"/>
          <w:szCs w:val="21"/>
          <w:highlight w:val="none"/>
        </w:rPr>
        <w:t>6.同意向贵方提供贵方可能另外要求的与投标有关的任何证据或资料，并保证我方已提供和将要提供的文件是真实的、准确的。</w:t>
      </w:r>
    </w:p>
    <w:p w14:paraId="19512179">
      <w:pPr>
        <w:spacing w:line="420" w:lineRule="exact"/>
        <w:ind w:firstLine="480"/>
        <w:jc w:val="left"/>
        <w:rPr>
          <w:rFonts w:ascii="宋体" w:hAnsi="宋体"/>
          <w:color w:val="auto"/>
          <w:szCs w:val="21"/>
          <w:highlight w:val="none"/>
        </w:rPr>
      </w:pPr>
      <w:r>
        <w:rPr>
          <w:rFonts w:hint="eastAsia" w:ascii="宋体" w:hAnsi="宋体"/>
          <w:color w:val="auto"/>
          <w:szCs w:val="21"/>
          <w:highlight w:val="none"/>
        </w:rPr>
        <w:t>7.一旦我方中标,我方将根据招标文件的规定，严格履行合同的责任和义务,并保证在招标文件规定的时间完成项目，交付买方验收、使用。</w:t>
      </w:r>
    </w:p>
    <w:p w14:paraId="1EA63484">
      <w:pPr>
        <w:spacing w:line="420" w:lineRule="exact"/>
        <w:ind w:left="425"/>
        <w:jc w:val="left"/>
        <w:rPr>
          <w:rFonts w:ascii="宋体" w:hAnsi="宋体"/>
          <w:color w:val="auto"/>
          <w:szCs w:val="21"/>
          <w:highlight w:val="none"/>
        </w:rPr>
      </w:pPr>
      <w:r>
        <w:rPr>
          <w:rFonts w:hint="eastAsia" w:ascii="宋体" w:hAnsi="宋体"/>
          <w:color w:val="auto"/>
          <w:szCs w:val="21"/>
          <w:highlight w:val="none"/>
        </w:rPr>
        <w:t>8.与本投标有关的正式通讯地址为：</w:t>
      </w:r>
    </w:p>
    <w:p w14:paraId="492F20E4">
      <w:pPr>
        <w:spacing w:line="420" w:lineRule="exact"/>
        <w:ind w:left="420" w:firstLine="480"/>
        <w:jc w:val="left"/>
        <w:rPr>
          <w:rFonts w:ascii="宋体" w:hAnsi="宋体"/>
          <w:color w:val="auto"/>
          <w:szCs w:val="21"/>
          <w:highlight w:val="none"/>
        </w:rPr>
      </w:pPr>
      <w:r>
        <w:rPr>
          <w:rFonts w:hint="eastAsia" w:ascii="宋体" w:hAnsi="宋体"/>
          <w:color w:val="auto"/>
          <w:szCs w:val="21"/>
          <w:highlight w:val="none"/>
        </w:rPr>
        <w:t>地          址：</w:t>
      </w:r>
    </w:p>
    <w:p w14:paraId="5EF1D65F">
      <w:pPr>
        <w:spacing w:line="420" w:lineRule="exact"/>
        <w:ind w:left="420" w:firstLine="480"/>
        <w:jc w:val="left"/>
        <w:rPr>
          <w:rFonts w:ascii="宋体" w:hAnsi="宋体"/>
          <w:color w:val="auto"/>
          <w:szCs w:val="21"/>
          <w:highlight w:val="none"/>
        </w:rPr>
      </w:pPr>
      <w:r>
        <w:rPr>
          <w:rFonts w:hint="eastAsia" w:ascii="宋体" w:hAnsi="宋体"/>
          <w:color w:val="auto"/>
          <w:szCs w:val="21"/>
          <w:highlight w:val="none"/>
        </w:rPr>
        <w:t>邮          编：</w:t>
      </w:r>
    </w:p>
    <w:p w14:paraId="49F18500">
      <w:pPr>
        <w:spacing w:line="420" w:lineRule="exact"/>
        <w:ind w:left="420" w:firstLine="480"/>
        <w:jc w:val="left"/>
        <w:rPr>
          <w:rFonts w:ascii="宋体" w:hAnsi="宋体"/>
          <w:color w:val="auto"/>
          <w:szCs w:val="21"/>
          <w:highlight w:val="none"/>
        </w:rPr>
      </w:pPr>
      <w:r>
        <w:rPr>
          <w:rFonts w:hint="eastAsia" w:ascii="宋体" w:hAnsi="宋体"/>
          <w:color w:val="auto"/>
          <w:szCs w:val="21"/>
          <w:highlight w:val="none"/>
        </w:rPr>
        <w:t>电          话：</w:t>
      </w:r>
    </w:p>
    <w:p w14:paraId="141226C8">
      <w:pPr>
        <w:spacing w:line="420" w:lineRule="exact"/>
        <w:ind w:left="420" w:firstLine="480"/>
        <w:jc w:val="left"/>
        <w:rPr>
          <w:rFonts w:ascii="宋体" w:hAnsi="宋体"/>
          <w:color w:val="auto"/>
          <w:szCs w:val="21"/>
          <w:highlight w:val="none"/>
        </w:rPr>
      </w:pPr>
      <w:r>
        <w:rPr>
          <w:rFonts w:hint="eastAsia" w:ascii="宋体" w:hAnsi="宋体"/>
          <w:color w:val="auto"/>
          <w:szCs w:val="21"/>
          <w:highlight w:val="none"/>
        </w:rPr>
        <w:t>传          真：</w:t>
      </w:r>
    </w:p>
    <w:p w14:paraId="0D26E10E">
      <w:pPr>
        <w:spacing w:line="420" w:lineRule="exact"/>
        <w:ind w:left="420" w:firstLine="480"/>
        <w:jc w:val="left"/>
        <w:rPr>
          <w:rFonts w:ascii="宋体" w:hAnsi="宋体"/>
          <w:color w:val="auto"/>
          <w:szCs w:val="21"/>
          <w:highlight w:val="none"/>
        </w:rPr>
      </w:pPr>
      <w:r>
        <w:rPr>
          <w:rFonts w:hint="eastAsia" w:ascii="宋体" w:hAnsi="宋体"/>
          <w:color w:val="auto"/>
          <w:szCs w:val="21"/>
          <w:highlight w:val="none"/>
        </w:rPr>
        <w:t>投标人开户行：</w:t>
      </w:r>
    </w:p>
    <w:p w14:paraId="74633DF0">
      <w:pPr>
        <w:spacing w:line="420" w:lineRule="exact"/>
        <w:ind w:left="420" w:firstLine="480"/>
        <w:jc w:val="left"/>
        <w:rPr>
          <w:rFonts w:ascii="宋体" w:hAnsi="宋体"/>
          <w:color w:val="auto"/>
          <w:szCs w:val="21"/>
          <w:highlight w:val="none"/>
        </w:rPr>
      </w:pPr>
      <w:r>
        <w:rPr>
          <w:rFonts w:hint="eastAsia" w:ascii="宋体" w:hAnsi="宋体"/>
          <w:color w:val="auto"/>
          <w:szCs w:val="21"/>
          <w:highlight w:val="none"/>
        </w:rPr>
        <w:t xml:space="preserve">账          户： </w:t>
      </w:r>
    </w:p>
    <w:p w14:paraId="1A7BA063">
      <w:pPr>
        <w:spacing w:line="420" w:lineRule="exact"/>
        <w:ind w:left="420" w:firstLine="480"/>
        <w:jc w:val="left"/>
        <w:rPr>
          <w:rFonts w:ascii="宋体" w:hAnsi="宋体"/>
          <w:color w:val="auto"/>
          <w:szCs w:val="21"/>
          <w:highlight w:val="none"/>
        </w:rPr>
      </w:pPr>
      <w:r>
        <w:rPr>
          <w:rFonts w:hint="eastAsia" w:ascii="宋体" w:hAnsi="宋体"/>
          <w:color w:val="auto"/>
          <w:szCs w:val="21"/>
          <w:highlight w:val="none"/>
        </w:rPr>
        <w:t xml:space="preserve">投标人授权代表姓名（签字）： </w:t>
      </w:r>
    </w:p>
    <w:p w14:paraId="35E3E137">
      <w:pPr>
        <w:spacing w:line="420" w:lineRule="exact"/>
        <w:ind w:left="420" w:firstLine="480"/>
        <w:jc w:val="left"/>
        <w:rPr>
          <w:rFonts w:ascii="宋体" w:hAnsi="宋体"/>
          <w:color w:val="auto"/>
          <w:szCs w:val="21"/>
          <w:highlight w:val="none"/>
        </w:rPr>
      </w:pPr>
      <w:r>
        <w:rPr>
          <w:rFonts w:hint="eastAsia" w:ascii="宋体" w:hAnsi="宋体"/>
          <w:color w:val="auto"/>
          <w:szCs w:val="21"/>
          <w:highlight w:val="none"/>
        </w:rPr>
        <w:t xml:space="preserve">投标人名称（公章）： </w:t>
      </w:r>
    </w:p>
    <w:p w14:paraId="4DC2C3CE">
      <w:pPr>
        <w:spacing w:line="420" w:lineRule="exact"/>
        <w:ind w:left="420" w:firstLine="480"/>
        <w:jc w:val="left"/>
        <w:rPr>
          <w:rFonts w:ascii="宋体" w:hAnsi="宋体"/>
          <w:color w:val="auto"/>
          <w:szCs w:val="21"/>
          <w:highlight w:val="none"/>
        </w:rPr>
      </w:pPr>
      <w:r>
        <w:rPr>
          <w:rFonts w:hint="eastAsia" w:ascii="宋体" w:hAnsi="宋体"/>
          <w:color w:val="auto"/>
          <w:szCs w:val="21"/>
          <w:highlight w:val="none"/>
        </w:rPr>
        <w:t>日           期：________年____月____日</w:t>
      </w:r>
    </w:p>
    <w:p w14:paraId="2C45C3B2">
      <w:pPr>
        <w:rPr>
          <w:rFonts w:hAnsi="宋体" w:cs="Angsana New"/>
          <w:color w:val="auto"/>
          <w:sz w:val="24"/>
          <w:highlight w:val="none"/>
          <w:lang w:bidi="th-TH"/>
        </w:rPr>
      </w:pPr>
      <w:r>
        <w:rPr>
          <w:rFonts w:hint="eastAsia" w:hAnsi="宋体" w:cs="Angsana New"/>
          <w:color w:val="auto"/>
          <w:sz w:val="24"/>
          <w:highlight w:val="none"/>
          <w:lang w:bidi="th-TH"/>
        </w:rPr>
        <w:br w:type="page"/>
      </w:r>
    </w:p>
    <w:p w14:paraId="64D6D987">
      <w:pPr>
        <w:pStyle w:val="222"/>
        <w:spacing w:before="120" w:after="120" w:line="460" w:lineRule="exact"/>
        <w:rPr>
          <w:rFonts w:hAnsi="宋体" w:cs="Angsana New"/>
          <w:color w:val="auto"/>
          <w:sz w:val="24"/>
          <w:szCs w:val="24"/>
          <w:highlight w:val="none"/>
          <w:lang w:bidi="th-TH"/>
        </w:rPr>
      </w:pPr>
      <w:r>
        <w:rPr>
          <w:rFonts w:hint="eastAsia" w:hAnsi="宋体" w:cs="Angsana New"/>
          <w:color w:val="auto"/>
          <w:sz w:val="24"/>
          <w:szCs w:val="24"/>
          <w:highlight w:val="none"/>
          <w:lang w:bidi="th-TH"/>
        </w:rPr>
        <w:t>格式四：</w:t>
      </w:r>
    </w:p>
    <w:p w14:paraId="3693C896">
      <w:pPr>
        <w:pStyle w:val="222"/>
        <w:spacing w:before="120" w:after="120"/>
        <w:jc w:val="center"/>
        <w:rPr>
          <w:rFonts w:hAnsi="宋体"/>
          <w:b/>
          <w:color w:val="auto"/>
          <w:szCs w:val="28"/>
          <w:highlight w:val="none"/>
        </w:rPr>
      </w:pPr>
      <w:r>
        <w:rPr>
          <w:rFonts w:hint="eastAsia" w:hAnsi="宋体"/>
          <w:b/>
          <w:color w:val="auto"/>
          <w:szCs w:val="28"/>
          <w:highlight w:val="none"/>
        </w:rPr>
        <w:t>参加政府采购活动前 3 年内在经营活动中没有重大违法记录的书面声明</w:t>
      </w:r>
    </w:p>
    <w:p w14:paraId="496A4EE2">
      <w:pPr>
        <w:spacing w:line="460" w:lineRule="exact"/>
        <w:rPr>
          <w:rFonts w:ascii="宋体" w:hAnsi="宋体"/>
          <w:b/>
          <w:bCs/>
          <w:color w:val="auto"/>
          <w:sz w:val="44"/>
          <w:szCs w:val="44"/>
          <w:highlight w:val="none"/>
        </w:rPr>
      </w:pPr>
      <w:r>
        <w:rPr>
          <w:rFonts w:hint="eastAsia" w:ascii="宋体" w:hAnsi="宋体"/>
          <w:b/>
          <w:bCs/>
          <w:color w:val="auto"/>
          <w:sz w:val="24"/>
          <w:highlight w:val="none"/>
        </w:rPr>
        <w:t xml:space="preserve">                       </w:t>
      </w:r>
      <w:r>
        <w:rPr>
          <w:rFonts w:hint="eastAsia" w:ascii="宋体" w:hAnsi="宋体"/>
          <w:b/>
          <w:bCs/>
          <w:color w:val="auto"/>
          <w:sz w:val="44"/>
          <w:szCs w:val="44"/>
          <w:highlight w:val="none"/>
        </w:rPr>
        <w:t xml:space="preserve">   </w:t>
      </w:r>
    </w:p>
    <w:p w14:paraId="0A0E405E">
      <w:pPr>
        <w:spacing w:line="460" w:lineRule="exact"/>
        <w:jc w:val="center"/>
        <w:rPr>
          <w:rFonts w:ascii="宋体" w:hAnsi="宋体"/>
          <w:b/>
          <w:bCs/>
          <w:color w:val="auto"/>
          <w:sz w:val="44"/>
          <w:szCs w:val="44"/>
          <w:highlight w:val="none"/>
        </w:rPr>
      </w:pPr>
      <w:r>
        <w:rPr>
          <w:rFonts w:hint="eastAsia" w:ascii="宋体" w:hAnsi="宋体"/>
          <w:b/>
          <w:color w:val="auto"/>
          <w:sz w:val="28"/>
          <w:szCs w:val="28"/>
          <w:highlight w:val="none"/>
        </w:rPr>
        <w:t>声  明</w:t>
      </w:r>
    </w:p>
    <w:p w14:paraId="4D976B66">
      <w:pPr>
        <w:spacing w:line="520" w:lineRule="exact"/>
        <w:rPr>
          <w:rFonts w:ascii="宋体" w:hAnsi="宋体"/>
          <w:bCs/>
          <w:color w:val="auto"/>
          <w:szCs w:val="21"/>
          <w:highlight w:val="none"/>
        </w:rPr>
      </w:pPr>
      <w:r>
        <w:rPr>
          <w:rFonts w:hint="eastAsia" w:ascii="宋体" w:hAnsi="宋体"/>
          <w:b/>
          <w:bCs/>
          <w:color w:val="auto"/>
          <w:sz w:val="24"/>
          <w:highlight w:val="none"/>
        </w:rPr>
        <w:t xml:space="preserve">    </w:t>
      </w:r>
      <w:r>
        <w:rPr>
          <w:rFonts w:hint="eastAsia" w:ascii="宋体" w:hAnsi="宋体"/>
          <w:bCs/>
          <w:color w:val="auto"/>
          <w:szCs w:val="21"/>
          <w:highlight w:val="none"/>
        </w:rPr>
        <w:t>我公司郑重声明：参加本次政府采购活动前 3 年内，我公司在经营活动中没有因违法经营受到刑事处罚或者责令停产停业、吊销许可证或者执照、较大数额罚款等行政处罚。</w:t>
      </w:r>
    </w:p>
    <w:p w14:paraId="06EA00A3">
      <w:pPr>
        <w:spacing w:line="460" w:lineRule="exact"/>
        <w:rPr>
          <w:rFonts w:ascii="宋体" w:hAnsi="宋体"/>
          <w:bCs/>
          <w:color w:val="auto"/>
          <w:sz w:val="24"/>
          <w:highlight w:val="none"/>
        </w:rPr>
      </w:pPr>
      <w:r>
        <w:rPr>
          <w:rFonts w:hint="eastAsia" w:ascii="宋体" w:hAnsi="宋体"/>
          <w:bCs/>
          <w:color w:val="auto"/>
          <w:sz w:val="24"/>
          <w:highlight w:val="none"/>
        </w:rPr>
        <w:t xml:space="preserve">                                      </w:t>
      </w:r>
    </w:p>
    <w:p w14:paraId="2082D135">
      <w:pPr>
        <w:spacing w:line="460" w:lineRule="exact"/>
        <w:rPr>
          <w:rFonts w:ascii="宋体" w:hAnsi="宋体"/>
          <w:bCs/>
          <w:color w:val="auto"/>
          <w:sz w:val="24"/>
          <w:highlight w:val="none"/>
        </w:rPr>
      </w:pPr>
    </w:p>
    <w:p w14:paraId="10B36934">
      <w:pPr>
        <w:spacing w:line="460" w:lineRule="exact"/>
        <w:rPr>
          <w:rFonts w:ascii="宋体" w:hAnsi="宋体"/>
          <w:bCs/>
          <w:color w:val="auto"/>
          <w:sz w:val="24"/>
          <w:highlight w:val="none"/>
        </w:rPr>
      </w:pPr>
    </w:p>
    <w:p w14:paraId="0326D56B">
      <w:pPr>
        <w:spacing w:line="460" w:lineRule="exact"/>
        <w:ind w:firstLine="3990"/>
        <w:rPr>
          <w:rFonts w:ascii="宋体" w:hAnsi="宋体"/>
          <w:bCs/>
          <w:color w:val="auto"/>
          <w:szCs w:val="21"/>
          <w:highlight w:val="none"/>
        </w:rPr>
      </w:pPr>
      <w:r>
        <w:rPr>
          <w:rFonts w:hint="eastAsia" w:ascii="宋体" w:hAnsi="宋体"/>
          <w:bCs/>
          <w:color w:val="auto"/>
          <w:szCs w:val="21"/>
          <w:highlight w:val="none"/>
        </w:rPr>
        <w:t>供应商名称（公章）：</w:t>
      </w:r>
    </w:p>
    <w:p w14:paraId="34DC0A7F">
      <w:pPr>
        <w:spacing w:line="460" w:lineRule="exact"/>
        <w:rPr>
          <w:rFonts w:ascii="宋体" w:hAnsi="宋体"/>
          <w:bCs/>
          <w:color w:val="auto"/>
          <w:szCs w:val="21"/>
          <w:highlight w:val="none"/>
        </w:rPr>
      </w:pPr>
      <w:r>
        <w:rPr>
          <w:rFonts w:hint="eastAsia" w:ascii="宋体" w:hAnsi="宋体"/>
          <w:bCs/>
          <w:color w:val="auto"/>
          <w:szCs w:val="21"/>
          <w:highlight w:val="none"/>
        </w:rPr>
        <w:t xml:space="preserve">                               </w:t>
      </w:r>
      <w:r>
        <w:rPr>
          <w:rFonts w:ascii="宋体" w:hAnsi="宋体"/>
          <w:bCs/>
          <w:color w:val="auto"/>
          <w:szCs w:val="21"/>
          <w:highlight w:val="none"/>
        </w:rPr>
        <w:t xml:space="preserve">       </w:t>
      </w:r>
      <w:r>
        <w:rPr>
          <w:rFonts w:hint="eastAsia" w:ascii="宋体" w:hAnsi="宋体"/>
          <w:bCs/>
          <w:color w:val="auto"/>
          <w:szCs w:val="21"/>
          <w:highlight w:val="none"/>
        </w:rPr>
        <w:t>日期：</w:t>
      </w:r>
      <w:r>
        <w:rPr>
          <w:rFonts w:hint="eastAsia" w:ascii="宋体" w:hAnsi="宋体"/>
          <w:bCs/>
          <w:color w:val="auto"/>
          <w:szCs w:val="21"/>
          <w:highlight w:val="none"/>
          <w:u w:val="single"/>
        </w:rPr>
        <w:t xml:space="preserve">     </w:t>
      </w:r>
      <w:r>
        <w:rPr>
          <w:rFonts w:hint="eastAsia" w:ascii="宋体" w:hAnsi="宋体"/>
          <w:bCs/>
          <w:color w:val="auto"/>
          <w:szCs w:val="21"/>
          <w:highlight w:val="none"/>
        </w:rPr>
        <w:t>年</w:t>
      </w:r>
      <w:r>
        <w:rPr>
          <w:rFonts w:hint="eastAsia" w:ascii="宋体" w:hAnsi="宋体"/>
          <w:bCs/>
          <w:color w:val="auto"/>
          <w:szCs w:val="21"/>
          <w:highlight w:val="none"/>
          <w:u w:val="single"/>
        </w:rPr>
        <w:t xml:space="preserve">    </w:t>
      </w:r>
      <w:r>
        <w:rPr>
          <w:rFonts w:hint="eastAsia" w:ascii="宋体" w:hAnsi="宋体"/>
          <w:bCs/>
          <w:color w:val="auto"/>
          <w:szCs w:val="21"/>
          <w:highlight w:val="none"/>
        </w:rPr>
        <w:t>月</w:t>
      </w:r>
      <w:r>
        <w:rPr>
          <w:rFonts w:hint="eastAsia" w:ascii="宋体" w:hAnsi="宋体"/>
          <w:bCs/>
          <w:color w:val="auto"/>
          <w:szCs w:val="21"/>
          <w:highlight w:val="none"/>
          <w:u w:val="single"/>
        </w:rPr>
        <w:t xml:space="preserve">    </w:t>
      </w:r>
      <w:r>
        <w:rPr>
          <w:rFonts w:hint="eastAsia" w:ascii="宋体" w:hAnsi="宋体"/>
          <w:bCs/>
          <w:color w:val="auto"/>
          <w:szCs w:val="21"/>
          <w:highlight w:val="none"/>
        </w:rPr>
        <w:t>日</w:t>
      </w:r>
    </w:p>
    <w:p w14:paraId="4D305B2D">
      <w:pPr>
        <w:spacing w:line="480" w:lineRule="exact"/>
        <w:ind w:firstLine="321"/>
        <w:jc w:val="center"/>
        <w:rPr>
          <w:rFonts w:ascii="宋体" w:hAnsi="宋体"/>
          <w:b/>
          <w:color w:val="auto"/>
          <w:sz w:val="28"/>
          <w:szCs w:val="28"/>
          <w:highlight w:val="none"/>
        </w:rPr>
      </w:pPr>
      <w:r>
        <w:rPr>
          <w:rFonts w:ascii="宋体" w:hAnsi="宋体"/>
          <w:bCs/>
          <w:color w:val="auto"/>
          <w:sz w:val="24"/>
          <w:highlight w:val="none"/>
        </w:rPr>
        <w:br w:type="page" w:clear="all"/>
      </w:r>
      <w:r>
        <w:rPr>
          <w:rFonts w:hint="eastAsia" w:ascii="宋体" w:hAnsi="宋体"/>
          <w:b/>
          <w:color w:val="auto"/>
          <w:sz w:val="28"/>
          <w:szCs w:val="28"/>
          <w:highlight w:val="none"/>
        </w:rPr>
        <w:t>具备履行合同所必需的设备和专业技术能力的声明函</w:t>
      </w:r>
    </w:p>
    <w:p w14:paraId="2C74FCB7">
      <w:pPr>
        <w:spacing w:line="480" w:lineRule="exact"/>
        <w:ind w:firstLine="321"/>
        <w:jc w:val="center"/>
        <w:rPr>
          <w:rFonts w:ascii="宋体" w:hAnsi="宋体" w:cs="宋体"/>
          <w:b/>
          <w:color w:val="auto"/>
          <w:sz w:val="32"/>
          <w:szCs w:val="32"/>
          <w:highlight w:val="none"/>
        </w:rPr>
      </w:pPr>
    </w:p>
    <w:p w14:paraId="5DCBDAD1">
      <w:pPr>
        <w:spacing w:line="600" w:lineRule="exact"/>
        <w:ind w:firstLine="492"/>
        <w:rPr>
          <w:rFonts w:ascii="宋体" w:hAnsi="宋体"/>
          <w:bCs/>
          <w:color w:val="auto"/>
          <w:szCs w:val="21"/>
          <w:highlight w:val="none"/>
        </w:rPr>
      </w:pPr>
      <w:r>
        <w:rPr>
          <w:rFonts w:hint="eastAsia" w:ascii="宋体" w:hAnsi="宋体"/>
          <w:bCs/>
          <w:color w:val="auto"/>
          <w:szCs w:val="21"/>
          <w:highlight w:val="none"/>
        </w:rPr>
        <w:t>我方郑重声明：我方具备履行本项采购合同所必需的设备和专业技术能力，为履行本项采购合同我方具备如下主要设备和主要专业技术能力：</w:t>
      </w:r>
    </w:p>
    <w:p w14:paraId="77D314DD">
      <w:pPr>
        <w:spacing w:line="600" w:lineRule="exact"/>
        <w:ind w:firstLine="492"/>
        <w:rPr>
          <w:rFonts w:ascii="宋体" w:hAnsi="宋体"/>
          <w:bCs/>
          <w:color w:val="auto"/>
          <w:szCs w:val="21"/>
          <w:highlight w:val="none"/>
          <w:u w:val="single"/>
        </w:rPr>
      </w:pPr>
      <w:r>
        <w:rPr>
          <w:rFonts w:hint="eastAsia" w:ascii="宋体" w:hAnsi="宋体"/>
          <w:bCs/>
          <w:color w:val="auto"/>
          <w:szCs w:val="21"/>
          <w:highlight w:val="none"/>
        </w:rPr>
        <w:t>主要设备有：</w:t>
      </w:r>
      <w:r>
        <w:rPr>
          <w:rFonts w:hint="eastAsia" w:ascii="宋体" w:hAnsi="宋体"/>
          <w:bCs/>
          <w:color w:val="auto"/>
          <w:szCs w:val="21"/>
          <w:highlight w:val="none"/>
          <w:u w:val="single"/>
        </w:rPr>
        <w:t xml:space="preserve">                                         </w:t>
      </w:r>
    </w:p>
    <w:p w14:paraId="1CC0E55D">
      <w:pPr>
        <w:spacing w:line="600" w:lineRule="exact"/>
        <w:ind w:firstLine="492"/>
        <w:rPr>
          <w:rFonts w:ascii="宋体" w:hAnsi="宋体"/>
          <w:bCs/>
          <w:color w:val="auto"/>
          <w:szCs w:val="21"/>
          <w:highlight w:val="none"/>
        </w:rPr>
      </w:pPr>
      <w:r>
        <w:rPr>
          <w:rFonts w:hint="eastAsia" w:ascii="宋体" w:hAnsi="宋体"/>
          <w:bCs/>
          <w:color w:val="auto"/>
          <w:szCs w:val="21"/>
          <w:highlight w:val="none"/>
        </w:rPr>
        <w:t>主要专业技术能力有：</w:t>
      </w:r>
      <w:r>
        <w:rPr>
          <w:rFonts w:hint="eastAsia" w:ascii="宋体" w:hAnsi="宋体"/>
          <w:bCs/>
          <w:color w:val="auto"/>
          <w:szCs w:val="21"/>
          <w:highlight w:val="none"/>
          <w:u w:val="single"/>
        </w:rPr>
        <w:t xml:space="preserve">                                 </w:t>
      </w:r>
    </w:p>
    <w:p w14:paraId="527ED364">
      <w:pPr>
        <w:spacing w:line="600" w:lineRule="exact"/>
        <w:rPr>
          <w:rFonts w:ascii="宋体" w:hAnsi="宋体"/>
          <w:bCs/>
          <w:color w:val="auto"/>
          <w:sz w:val="24"/>
          <w:highlight w:val="none"/>
        </w:rPr>
      </w:pPr>
    </w:p>
    <w:p w14:paraId="01E275C9">
      <w:pPr>
        <w:spacing w:line="460" w:lineRule="exact"/>
        <w:ind w:firstLine="3840"/>
        <w:rPr>
          <w:rFonts w:ascii="宋体" w:hAnsi="宋体"/>
          <w:bCs/>
          <w:color w:val="auto"/>
          <w:sz w:val="24"/>
          <w:highlight w:val="none"/>
        </w:rPr>
      </w:pPr>
    </w:p>
    <w:p w14:paraId="1851875C">
      <w:pPr>
        <w:pStyle w:val="271"/>
        <w:rPr>
          <w:color w:val="auto"/>
          <w:highlight w:val="none"/>
        </w:rPr>
      </w:pPr>
    </w:p>
    <w:p w14:paraId="1F962EAD">
      <w:pPr>
        <w:pStyle w:val="271"/>
        <w:rPr>
          <w:color w:val="auto"/>
          <w:highlight w:val="none"/>
        </w:rPr>
      </w:pPr>
    </w:p>
    <w:p w14:paraId="4E67C874">
      <w:pPr>
        <w:spacing w:line="460" w:lineRule="exact"/>
        <w:ind w:firstLine="6480"/>
        <w:rPr>
          <w:rFonts w:ascii="宋体" w:hAnsi="宋体"/>
          <w:bCs/>
          <w:color w:val="auto"/>
          <w:sz w:val="24"/>
          <w:highlight w:val="none"/>
        </w:rPr>
      </w:pPr>
      <w:r>
        <w:rPr>
          <w:rFonts w:hint="eastAsia" w:ascii="宋体" w:hAnsi="宋体"/>
          <w:bCs/>
          <w:color w:val="auto"/>
          <w:sz w:val="24"/>
          <w:highlight w:val="none"/>
        </w:rPr>
        <w:t>供应商名称（公章）：</w:t>
      </w:r>
    </w:p>
    <w:p w14:paraId="2BEDD332">
      <w:pPr>
        <w:pStyle w:val="188"/>
        <w:ind w:right="420" w:firstLine="103"/>
        <w:jc w:val="right"/>
        <w:rPr>
          <w:rFonts w:ascii="宋体" w:hAnsi="宋体" w:eastAsia="宋体"/>
          <w:bCs/>
          <w:color w:val="auto"/>
          <w:sz w:val="21"/>
          <w:szCs w:val="21"/>
          <w:highlight w:val="none"/>
        </w:rPr>
      </w:pPr>
      <w:r>
        <w:rPr>
          <w:rFonts w:hint="eastAsia" w:ascii="宋体" w:hAnsi="宋体" w:eastAsia="宋体"/>
          <w:color w:val="auto"/>
          <w:sz w:val="21"/>
          <w:szCs w:val="21"/>
          <w:highlight w:val="none"/>
        </w:rPr>
        <w:t>日期：______年</w:t>
      </w:r>
      <w:r>
        <w:rPr>
          <w:rFonts w:hint="eastAsia" w:ascii="宋体" w:hAnsi="宋体" w:eastAsia="宋体"/>
          <w:color w:val="auto"/>
          <w:sz w:val="21"/>
          <w:szCs w:val="21"/>
          <w:highlight w:val="none"/>
          <w:u w:val="single"/>
        </w:rPr>
        <w:t xml:space="preserve">    </w:t>
      </w:r>
      <w:r>
        <w:rPr>
          <w:rFonts w:hint="eastAsia" w:ascii="宋体" w:hAnsi="宋体" w:eastAsia="宋体"/>
          <w:color w:val="auto"/>
          <w:sz w:val="21"/>
          <w:szCs w:val="21"/>
          <w:highlight w:val="none"/>
        </w:rPr>
        <w:t>月</w:t>
      </w:r>
      <w:r>
        <w:rPr>
          <w:rFonts w:hint="eastAsia" w:ascii="宋体" w:hAnsi="宋体" w:eastAsia="宋体"/>
          <w:color w:val="auto"/>
          <w:sz w:val="21"/>
          <w:szCs w:val="21"/>
          <w:highlight w:val="none"/>
          <w:u w:val="single"/>
        </w:rPr>
        <w:t xml:space="preserve">    </w:t>
      </w:r>
      <w:r>
        <w:rPr>
          <w:rFonts w:hint="eastAsia" w:ascii="宋体" w:hAnsi="宋体" w:eastAsia="宋体"/>
          <w:color w:val="auto"/>
          <w:sz w:val="21"/>
          <w:szCs w:val="21"/>
          <w:highlight w:val="none"/>
        </w:rPr>
        <w:t>日</w:t>
      </w:r>
    </w:p>
    <w:p w14:paraId="70494ACD">
      <w:pPr>
        <w:spacing w:line="460" w:lineRule="exact"/>
        <w:rPr>
          <w:rFonts w:ascii="宋体" w:hAnsi="宋体"/>
          <w:bCs/>
          <w:color w:val="auto"/>
          <w:sz w:val="24"/>
          <w:highlight w:val="none"/>
        </w:rPr>
      </w:pPr>
    </w:p>
    <w:p w14:paraId="50AE38F5">
      <w:pPr>
        <w:pStyle w:val="222"/>
        <w:spacing w:before="120" w:after="120" w:line="460" w:lineRule="exact"/>
        <w:jc w:val="left"/>
        <w:rPr>
          <w:rFonts w:hAnsi="宋体" w:cs="Angsana New"/>
          <w:color w:val="auto"/>
          <w:sz w:val="24"/>
          <w:szCs w:val="24"/>
          <w:highlight w:val="none"/>
          <w:lang w:bidi="th-TH"/>
        </w:rPr>
      </w:pPr>
      <w:r>
        <w:rPr>
          <w:rFonts w:hAnsi="宋体" w:cs="Angsana New"/>
          <w:color w:val="auto"/>
          <w:sz w:val="24"/>
          <w:szCs w:val="24"/>
          <w:highlight w:val="none"/>
          <w:lang w:bidi="th-TH"/>
        </w:rPr>
        <w:br w:type="page" w:clear="all"/>
      </w:r>
      <w:r>
        <w:rPr>
          <w:rFonts w:hint="eastAsia" w:hAnsi="宋体" w:cs="Angsana New"/>
          <w:color w:val="auto"/>
          <w:sz w:val="24"/>
          <w:szCs w:val="24"/>
          <w:highlight w:val="none"/>
          <w:lang w:bidi="th-TH"/>
        </w:rPr>
        <w:t>格式五：</w:t>
      </w:r>
    </w:p>
    <w:p w14:paraId="214012C6">
      <w:pPr>
        <w:pStyle w:val="222"/>
        <w:spacing w:before="120" w:after="120" w:line="460" w:lineRule="exact"/>
        <w:jc w:val="center"/>
        <w:rPr>
          <w:rFonts w:hAnsi="宋体"/>
          <w:b/>
          <w:color w:val="auto"/>
          <w:sz w:val="32"/>
          <w:szCs w:val="32"/>
          <w:highlight w:val="none"/>
        </w:rPr>
      </w:pPr>
      <w:r>
        <w:rPr>
          <w:rFonts w:hint="eastAsia" w:hAnsi="宋体"/>
          <w:b/>
          <w:color w:val="auto"/>
          <w:sz w:val="32"/>
          <w:szCs w:val="32"/>
          <w:highlight w:val="none"/>
        </w:rPr>
        <w:t>投标分项报价表（投标报价明细表）</w:t>
      </w:r>
    </w:p>
    <w:tbl>
      <w:tblPr>
        <w:tblStyle w:val="32"/>
        <w:tblW w:w="0" w:type="auto"/>
        <w:jc w:val="center"/>
        <w:tblLayout w:type="fixed"/>
        <w:tblCellMar>
          <w:top w:w="0" w:type="dxa"/>
          <w:left w:w="108" w:type="dxa"/>
          <w:bottom w:w="0" w:type="dxa"/>
          <w:right w:w="108" w:type="dxa"/>
        </w:tblCellMar>
      </w:tblPr>
      <w:tblGrid>
        <w:gridCol w:w="802"/>
        <w:gridCol w:w="3545"/>
        <w:gridCol w:w="951"/>
        <w:gridCol w:w="923"/>
        <w:gridCol w:w="1107"/>
        <w:gridCol w:w="1288"/>
        <w:gridCol w:w="1027"/>
      </w:tblGrid>
      <w:tr w14:paraId="73CFD8BD">
        <w:tblPrEx>
          <w:tblCellMar>
            <w:top w:w="0" w:type="dxa"/>
            <w:left w:w="108" w:type="dxa"/>
            <w:bottom w:w="0" w:type="dxa"/>
            <w:right w:w="108" w:type="dxa"/>
          </w:tblCellMar>
        </w:tblPrEx>
        <w:trPr>
          <w:cantSplit/>
          <w:trHeight w:val="655" w:hRule="atLeast"/>
          <w:jc w:val="center"/>
        </w:trPr>
        <w:tc>
          <w:tcPr>
            <w:tcW w:w="802" w:type="dxa"/>
            <w:tcBorders>
              <w:top w:val="single" w:color="auto" w:sz="4" w:space="0"/>
              <w:left w:val="single" w:color="auto" w:sz="4" w:space="0"/>
              <w:bottom w:val="single" w:color="auto" w:sz="4" w:space="0"/>
              <w:right w:val="single" w:color="auto" w:sz="6" w:space="0"/>
            </w:tcBorders>
            <w:vAlign w:val="center"/>
          </w:tcPr>
          <w:p w14:paraId="13054FB7">
            <w:pPr>
              <w:spacing w:line="360" w:lineRule="auto"/>
              <w:ind w:right="-5"/>
              <w:jc w:val="center"/>
              <w:rPr>
                <w:rFonts w:ascii="宋体" w:hAnsi="宋体" w:cs="宋体"/>
                <w:color w:val="auto"/>
                <w:szCs w:val="21"/>
                <w:highlight w:val="none"/>
              </w:rPr>
            </w:pPr>
            <w:r>
              <w:rPr>
                <w:rFonts w:hint="eastAsia" w:ascii="宋体" w:hAnsi="宋体" w:cs="宋体"/>
                <w:color w:val="auto"/>
                <w:szCs w:val="21"/>
                <w:highlight w:val="none"/>
              </w:rPr>
              <w:t>序号</w:t>
            </w:r>
          </w:p>
        </w:tc>
        <w:tc>
          <w:tcPr>
            <w:tcW w:w="3545" w:type="dxa"/>
            <w:tcBorders>
              <w:top w:val="single" w:color="auto" w:sz="4" w:space="0"/>
              <w:left w:val="single" w:color="auto" w:sz="4" w:space="0"/>
              <w:bottom w:val="single" w:color="auto" w:sz="4" w:space="0"/>
              <w:right w:val="single" w:color="auto" w:sz="6" w:space="0"/>
            </w:tcBorders>
            <w:vAlign w:val="center"/>
          </w:tcPr>
          <w:p w14:paraId="19F3BC6D">
            <w:pPr>
              <w:spacing w:line="360" w:lineRule="auto"/>
              <w:ind w:right="-5"/>
              <w:jc w:val="center"/>
              <w:rPr>
                <w:rFonts w:ascii="宋体" w:hAnsi="宋体" w:cs="宋体"/>
                <w:color w:val="auto"/>
                <w:szCs w:val="21"/>
                <w:highlight w:val="none"/>
              </w:rPr>
            </w:pPr>
            <w:r>
              <w:rPr>
                <w:rFonts w:hint="eastAsia" w:ascii="宋体" w:hAnsi="宋体" w:cs="宋体"/>
                <w:color w:val="auto"/>
                <w:szCs w:val="21"/>
                <w:highlight w:val="none"/>
              </w:rPr>
              <w:t>项目内容</w:t>
            </w:r>
          </w:p>
        </w:tc>
        <w:tc>
          <w:tcPr>
            <w:tcW w:w="951" w:type="dxa"/>
            <w:tcBorders>
              <w:top w:val="single" w:color="auto" w:sz="4" w:space="0"/>
              <w:left w:val="single" w:color="auto" w:sz="6" w:space="0"/>
              <w:bottom w:val="single" w:color="auto" w:sz="4" w:space="0"/>
              <w:right w:val="single" w:color="auto" w:sz="6" w:space="0"/>
            </w:tcBorders>
            <w:vAlign w:val="center"/>
          </w:tcPr>
          <w:p w14:paraId="74406E74">
            <w:pPr>
              <w:spacing w:line="360" w:lineRule="auto"/>
              <w:ind w:right="-5"/>
              <w:jc w:val="center"/>
              <w:rPr>
                <w:rFonts w:ascii="宋体" w:hAnsi="宋体" w:cs="宋体"/>
                <w:color w:val="auto"/>
                <w:szCs w:val="21"/>
                <w:highlight w:val="none"/>
              </w:rPr>
            </w:pPr>
            <w:r>
              <w:rPr>
                <w:rFonts w:hint="eastAsia" w:ascii="宋体" w:hAnsi="宋体" w:cs="宋体"/>
                <w:color w:val="auto"/>
                <w:szCs w:val="21"/>
                <w:highlight w:val="none"/>
              </w:rPr>
              <w:t>单位</w:t>
            </w:r>
          </w:p>
        </w:tc>
        <w:tc>
          <w:tcPr>
            <w:tcW w:w="923" w:type="dxa"/>
            <w:tcBorders>
              <w:top w:val="single" w:color="auto" w:sz="4" w:space="0"/>
              <w:left w:val="single" w:color="auto" w:sz="6" w:space="0"/>
              <w:bottom w:val="single" w:color="auto" w:sz="4" w:space="0"/>
              <w:right w:val="single" w:color="auto" w:sz="6" w:space="0"/>
            </w:tcBorders>
            <w:vAlign w:val="center"/>
          </w:tcPr>
          <w:p w14:paraId="2BE22C03">
            <w:pPr>
              <w:spacing w:line="360" w:lineRule="auto"/>
              <w:ind w:right="-5"/>
              <w:jc w:val="center"/>
              <w:rPr>
                <w:rFonts w:ascii="宋体" w:hAnsi="宋体" w:cs="宋体"/>
                <w:color w:val="auto"/>
                <w:szCs w:val="21"/>
                <w:highlight w:val="none"/>
              </w:rPr>
            </w:pPr>
            <w:r>
              <w:rPr>
                <w:rFonts w:hint="eastAsia" w:ascii="宋体" w:hAnsi="宋体" w:cs="宋体"/>
                <w:color w:val="auto"/>
                <w:szCs w:val="21"/>
                <w:highlight w:val="none"/>
              </w:rPr>
              <w:t>数量</w:t>
            </w:r>
          </w:p>
        </w:tc>
        <w:tc>
          <w:tcPr>
            <w:tcW w:w="1107" w:type="dxa"/>
            <w:tcBorders>
              <w:top w:val="single" w:color="auto" w:sz="4" w:space="0"/>
              <w:left w:val="single" w:color="auto" w:sz="6" w:space="0"/>
              <w:bottom w:val="single" w:color="auto" w:sz="4" w:space="0"/>
              <w:right w:val="single" w:color="auto" w:sz="6" w:space="0"/>
            </w:tcBorders>
            <w:vAlign w:val="center"/>
          </w:tcPr>
          <w:p w14:paraId="48424955">
            <w:pPr>
              <w:spacing w:line="360" w:lineRule="auto"/>
              <w:ind w:right="-5"/>
              <w:jc w:val="center"/>
              <w:rPr>
                <w:rFonts w:ascii="宋体" w:hAnsi="宋体" w:cs="宋体"/>
                <w:color w:val="auto"/>
                <w:szCs w:val="21"/>
                <w:highlight w:val="none"/>
              </w:rPr>
            </w:pPr>
            <w:r>
              <w:rPr>
                <w:rFonts w:hint="eastAsia" w:ascii="宋体" w:hAnsi="宋体" w:cs="宋体"/>
                <w:color w:val="auto"/>
                <w:szCs w:val="21"/>
                <w:highlight w:val="none"/>
              </w:rPr>
              <w:t>单价</w:t>
            </w:r>
          </w:p>
        </w:tc>
        <w:tc>
          <w:tcPr>
            <w:tcW w:w="1288" w:type="dxa"/>
            <w:tcBorders>
              <w:top w:val="single" w:color="auto" w:sz="4" w:space="0"/>
              <w:left w:val="single" w:color="auto" w:sz="6" w:space="0"/>
              <w:bottom w:val="single" w:color="auto" w:sz="4" w:space="0"/>
              <w:right w:val="single" w:color="auto" w:sz="6" w:space="0"/>
            </w:tcBorders>
            <w:vAlign w:val="center"/>
          </w:tcPr>
          <w:p w14:paraId="68DC5603">
            <w:pPr>
              <w:spacing w:line="360" w:lineRule="auto"/>
              <w:ind w:right="-5"/>
              <w:jc w:val="center"/>
              <w:rPr>
                <w:rFonts w:ascii="宋体" w:hAnsi="宋体" w:cs="宋体"/>
                <w:color w:val="auto"/>
                <w:szCs w:val="21"/>
                <w:highlight w:val="none"/>
              </w:rPr>
            </w:pPr>
            <w:r>
              <w:rPr>
                <w:rFonts w:hint="eastAsia" w:ascii="宋体" w:hAnsi="宋体" w:cs="宋体"/>
                <w:color w:val="auto"/>
                <w:szCs w:val="21"/>
                <w:highlight w:val="none"/>
              </w:rPr>
              <w:t>总价</w:t>
            </w:r>
          </w:p>
        </w:tc>
        <w:tc>
          <w:tcPr>
            <w:tcW w:w="1027" w:type="dxa"/>
            <w:tcBorders>
              <w:top w:val="single" w:color="auto" w:sz="4" w:space="0"/>
              <w:left w:val="single" w:color="auto" w:sz="6" w:space="0"/>
              <w:bottom w:val="single" w:color="auto" w:sz="4" w:space="0"/>
              <w:right w:val="single" w:color="auto" w:sz="4" w:space="0"/>
            </w:tcBorders>
            <w:vAlign w:val="center"/>
          </w:tcPr>
          <w:p w14:paraId="01785284">
            <w:pPr>
              <w:spacing w:line="360" w:lineRule="auto"/>
              <w:ind w:right="-5"/>
              <w:jc w:val="center"/>
              <w:rPr>
                <w:rFonts w:ascii="宋体" w:hAnsi="宋体" w:cs="宋体"/>
                <w:color w:val="auto"/>
                <w:szCs w:val="21"/>
                <w:highlight w:val="none"/>
              </w:rPr>
            </w:pPr>
            <w:r>
              <w:rPr>
                <w:rFonts w:hint="eastAsia" w:ascii="宋体" w:hAnsi="宋体" w:cs="宋体"/>
                <w:color w:val="auto"/>
                <w:szCs w:val="21"/>
                <w:highlight w:val="none"/>
              </w:rPr>
              <w:t>备注</w:t>
            </w:r>
          </w:p>
        </w:tc>
      </w:tr>
      <w:tr w14:paraId="61DA9072">
        <w:tblPrEx>
          <w:tblCellMar>
            <w:top w:w="0" w:type="dxa"/>
            <w:left w:w="108" w:type="dxa"/>
            <w:bottom w:w="0" w:type="dxa"/>
            <w:right w:w="108" w:type="dxa"/>
          </w:tblCellMar>
        </w:tblPrEx>
        <w:trPr>
          <w:cantSplit/>
          <w:trHeight w:val="655" w:hRule="atLeast"/>
          <w:jc w:val="center"/>
        </w:trPr>
        <w:tc>
          <w:tcPr>
            <w:tcW w:w="802" w:type="dxa"/>
            <w:tcBorders>
              <w:top w:val="single" w:color="auto" w:sz="4" w:space="0"/>
              <w:left w:val="single" w:color="auto" w:sz="4" w:space="0"/>
              <w:bottom w:val="single" w:color="auto" w:sz="4" w:space="0"/>
              <w:right w:val="single" w:color="auto" w:sz="6" w:space="0"/>
            </w:tcBorders>
          </w:tcPr>
          <w:p w14:paraId="4DC281C7">
            <w:pPr>
              <w:spacing w:line="360" w:lineRule="auto"/>
              <w:ind w:right="-5"/>
              <w:jc w:val="center"/>
              <w:rPr>
                <w:rFonts w:ascii="宋体" w:hAnsi="宋体" w:cs="宋体"/>
                <w:color w:val="auto"/>
                <w:szCs w:val="21"/>
                <w:highlight w:val="none"/>
              </w:rPr>
            </w:pPr>
          </w:p>
        </w:tc>
        <w:tc>
          <w:tcPr>
            <w:tcW w:w="3545" w:type="dxa"/>
            <w:tcBorders>
              <w:top w:val="single" w:color="auto" w:sz="4" w:space="0"/>
              <w:left w:val="single" w:color="auto" w:sz="4" w:space="0"/>
              <w:bottom w:val="single" w:color="auto" w:sz="4" w:space="0"/>
              <w:right w:val="single" w:color="auto" w:sz="6" w:space="0"/>
            </w:tcBorders>
          </w:tcPr>
          <w:p w14:paraId="27439CD9">
            <w:pPr>
              <w:spacing w:line="360" w:lineRule="auto"/>
              <w:ind w:right="-5"/>
              <w:jc w:val="center"/>
              <w:rPr>
                <w:rFonts w:ascii="宋体" w:hAnsi="宋体" w:cs="宋体"/>
                <w:color w:val="auto"/>
                <w:szCs w:val="21"/>
                <w:highlight w:val="none"/>
              </w:rPr>
            </w:pPr>
          </w:p>
        </w:tc>
        <w:tc>
          <w:tcPr>
            <w:tcW w:w="951" w:type="dxa"/>
            <w:tcBorders>
              <w:top w:val="single" w:color="auto" w:sz="4" w:space="0"/>
              <w:left w:val="single" w:color="auto" w:sz="6" w:space="0"/>
              <w:bottom w:val="single" w:color="auto" w:sz="4" w:space="0"/>
              <w:right w:val="single" w:color="auto" w:sz="6" w:space="0"/>
            </w:tcBorders>
          </w:tcPr>
          <w:p w14:paraId="371FBAD3">
            <w:pPr>
              <w:spacing w:line="360" w:lineRule="auto"/>
              <w:ind w:right="-5"/>
              <w:jc w:val="center"/>
              <w:rPr>
                <w:rFonts w:ascii="宋体" w:hAnsi="宋体" w:cs="宋体"/>
                <w:color w:val="auto"/>
                <w:szCs w:val="21"/>
                <w:highlight w:val="none"/>
              </w:rPr>
            </w:pPr>
          </w:p>
        </w:tc>
        <w:tc>
          <w:tcPr>
            <w:tcW w:w="923" w:type="dxa"/>
            <w:tcBorders>
              <w:top w:val="single" w:color="auto" w:sz="4" w:space="0"/>
              <w:left w:val="single" w:color="auto" w:sz="6" w:space="0"/>
              <w:bottom w:val="single" w:color="auto" w:sz="4" w:space="0"/>
              <w:right w:val="single" w:color="auto" w:sz="6" w:space="0"/>
            </w:tcBorders>
          </w:tcPr>
          <w:p w14:paraId="15C15996">
            <w:pPr>
              <w:spacing w:line="360" w:lineRule="auto"/>
              <w:ind w:right="-5"/>
              <w:jc w:val="center"/>
              <w:rPr>
                <w:rFonts w:ascii="宋体" w:hAnsi="宋体" w:cs="宋体"/>
                <w:color w:val="auto"/>
                <w:szCs w:val="21"/>
                <w:highlight w:val="none"/>
              </w:rPr>
            </w:pPr>
          </w:p>
        </w:tc>
        <w:tc>
          <w:tcPr>
            <w:tcW w:w="1107" w:type="dxa"/>
            <w:tcBorders>
              <w:top w:val="single" w:color="auto" w:sz="4" w:space="0"/>
              <w:left w:val="single" w:color="auto" w:sz="6" w:space="0"/>
              <w:bottom w:val="single" w:color="auto" w:sz="4" w:space="0"/>
              <w:right w:val="single" w:color="auto" w:sz="6" w:space="0"/>
            </w:tcBorders>
          </w:tcPr>
          <w:p w14:paraId="5FA9AEC5">
            <w:pPr>
              <w:spacing w:line="360" w:lineRule="auto"/>
              <w:ind w:right="-5"/>
              <w:jc w:val="center"/>
              <w:rPr>
                <w:rFonts w:ascii="宋体" w:hAnsi="宋体" w:cs="宋体"/>
                <w:color w:val="auto"/>
                <w:szCs w:val="21"/>
                <w:highlight w:val="none"/>
              </w:rPr>
            </w:pPr>
          </w:p>
        </w:tc>
        <w:tc>
          <w:tcPr>
            <w:tcW w:w="1288" w:type="dxa"/>
            <w:tcBorders>
              <w:top w:val="single" w:color="auto" w:sz="4" w:space="0"/>
              <w:left w:val="single" w:color="auto" w:sz="6" w:space="0"/>
              <w:bottom w:val="single" w:color="auto" w:sz="4" w:space="0"/>
              <w:right w:val="single" w:color="auto" w:sz="6" w:space="0"/>
            </w:tcBorders>
          </w:tcPr>
          <w:p w14:paraId="23E593B2">
            <w:pPr>
              <w:spacing w:line="360" w:lineRule="auto"/>
              <w:ind w:right="-5"/>
              <w:jc w:val="center"/>
              <w:rPr>
                <w:rFonts w:ascii="宋体" w:hAnsi="宋体" w:cs="宋体"/>
                <w:color w:val="auto"/>
                <w:szCs w:val="21"/>
                <w:highlight w:val="none"/>
              </w:rPr>
            </w:pPr>
          </w:p>
        </w:tc>
        <w:tc>
          <w:tcPr>
            <w:tcW w:w="1027" w:type="dxa"/>
            <w:tcBorders>
              <w:top w:val="single" w:color="auto" w:sz="4" w:space="0"/>
              <w:left w:val="single" w:color="auto" w:sz="6" w:space="0"/>
              <w:bottom w:val="single" w:color="auto" w:sz="4" w:space="0"/>
              <w:right w:val="single" w:color="auto" w:sz="4" w:space="0"/>
            </w:tcBorders>
          </w:tcPr>
          <w:p w14:paraId="51A1CD66">
            <w:pPr>
              <w:spacing w:line="360" w:lineRule="auto"/>
              <w:ind w:right="-5"/>
              <w:jc w:val="center"/>
              <w:rPr>
                <w:rFonts w:ascii="宋体" w:hAnsi="宋体" w:cs="宋体"/>
                <w:color w:val="auto"/>
                <w:szCs w:val="21"/>
                <w:highlight w:val="none"/>
              </w:rPr>
            </w:pPr>
          </w:p>
        </w:tc>
      </w:tr>
      <w:tr w14:paraId="4D91BCAC">
        <w:trPr>
          <w:cantSplit/>
          <w:trHeight w:val="655" w:hRule="atLeast"/>
          <w:jc w:val="center"/>
        </w:trPr>
        <w:tc>
          <w:tcPr>
            <w:tcW w:w="802" w:type="dxa"/>
            <w:tcBorders>
              <w:top w:val="single" w:color="auto" w:sz="4" w:space="0"/>
              <w:left w:val="single" w:color="auto" w:sz="4" w:space="0"/>
              <w:bottom w:val="single" w:color="auto" w:sz="4" w:space="0"/>
              <w:right w:val="single" w:color="auto" w:sz="6" w:space="0"/>
            </w:tcBorders>
          </w:tcPr>
          <w:p w14:paraId="376F44FD">
            <w:pPr>
              <w:spacing w:line="360" w:lineRule="auto"/>
              <w:ind w:right="-5"/>
              <w:jc w:val="center"/>
              <w:rPr>
                <w:rFonts w:ascii="宋体" w:hAnsi="宋体" w:cs="宋体"/>
                <w:color w:val="auto"/>
                <w:szCs w:val="21"/>
                <w:highlight w:val="none"/>
              </w:rPr>
            </w:pPr>
          </w:p>
        </w:tc>
        <w:tc>
          <w:tcPr>
            <w:tcW w:w="3545" w:type="dxa"/>
            <w:tcBorders>
              <w:top w:val="single" w:color="auto" w:sz="4" w:space="0"/>
              <w:left w:val="single" w:color="auto" w:sz="4" w:space="0"/>
              <w:bottom w:val="single" w:color="auto" w:sz="4" w:space="0"/>
              <w:right w:val="single" w:color="auto" w:sz="6" w:space="0"/>
            </w:tcBorders>
          </w:tcPr>
          <w:p w14:paraId="357A5E38">
            <w:pPr>
              <w:spacing w:line="360" w:lineRule="auto"/>
              <w:ind w:right="-5"/>
              <w:jc w:val="center"/>
              <w:rPr>
                <w:rFonts w:ascii="宋体" w:hAnsi="宋体" w:cs="宋体"/>
                <w:color w:val="auto"/>
                <w:szCs w:val="21"/>
                <w:highlight w:val="none"/>
              </w:rPr>
            </w:pPr>
          </w:p>
        </w:tc>
        <w:tc>
          <w:tcPr>
            <w:tcW w:w="951" w:type="dxa"/>
            <w:tcBorders>
              <w:top w:val="single" w:color="auto" w:sz="4" w:space="0"/>
              <w:left w:val="single" w:color="auto" w:sz="6" w:space="0"/>
              <w:bottom w:val="single" w:color="auto" w:sz="4" w:space="0"/>
              <w:right w:val="single" w:color="auto" w:sz="6" w:space="0"/>
            </w:tcBorders>
          </w:tcPr>
          <w:p w14:paraId="04FBFACC">
            <w:pPr>
              <w:spacing w:line="360" w:lineRule="auto"/>
              <w:ind w:right="-5"/>
              <w:jc w:val="center"/>
              <w:rPr>
                <w:rFonts w:ascii="宋体" w:hAnsi="宋体" w:cs="宋体"/>
                <w:color w:val="auto"/>
                <w:szCs w:val="21"/>
                <w:highlight w:val="none"/>
              </w:rPr>
            </w:pPr>
          </w:p>
        </w:tc>
        <w:tc>
          <w:tcPr>
            <w:tcW w:w="923" w:type="dxa"/>
            <w:tcBorders>
              <w:top w:val="single" w:color="auto" w:sz="4" w:space="0"/>
              <w:left w:val="single" w:color="auto" w:sz="6" w:space="0"/>
              <w:bottom w:val="single" w:color="auto" w:sz="4" w:space="0"/>
              <w:right w:val="single" w:color="auto" w:sz="6" w:space="0"/>
            </w:tcBorders>
          </w:tcPr>
          <w:p w14:paraId="37CF5A54">
            <w:pPr>
              <w:spacing w:line="360" w:lineRule="auto"/>
              <w:ind w:right="-5"/>
              <w:jc w:val="center"/>
              <w:rPr>
                <w:rFonts w:ascii="宋体" w:hAnsi="宋体" w:cs="宋体"/>
                <w:color w:val="auto"/>
                <w:szCs w:val="21"/>
                <w:highlight w:val="none"/>
              </w:rPr>
            </w:pPr>
          </w:p>
        </w:tc>
        <w:tc>
          <w:tcPr>
            <w:tcW w:w="1107" w:type="dxa"/>
            <w:tcBorders>
              <w:top w:val="single" w:color="auto" w:sz="4" w:space="0"/>
              <w:left w:val="single" w:color="auto" w:sz="6" w:space="0"/>
              <w:bottom w:val="single" w:color="auto" w:sz="4" w:space="0"/>
              <w:right w:val="single" w:color="auto" w:sz="6" w:space="0"/>
            </w:tcBorders>
          </w:tcPr>
          <w:p w14:paraId="1B1C8FC2">
            <w:pPr>
              <w:spacing w:line="360" w:lineRule="auto"/>
              <w:ind w:right="-5"/>
              <w:jc w:val="center"/>
              <w:rPr>
                <w:rFonts w:ascii="宋体" w:hAnsi="宋体" w:cs="宋体"/>
                <w:color w:val="auto"/>
                <w:szCs w:val="21"/>
                <w:highlight w:val="none"/>
              </w:rPr>
            </w:pPr>
          </w:p>
        </w:tc>
        <w:tc>
          <w:tcPr>
            <w:tcW w:w="1288" w:type="dxa"/>
            <w:tcBorders>
              <w:top w:val="single" w:color="auto" w:sz="4" w:space="0"/>
              <w:left w:val="single" w:color="auto" w:sz="6" w:space="0"/>
              <w:bottom w:val="single" w:color="auto" w:sz="4" w:space="0"/>
              <w:right w:val="single" w:color="auto" w:sz="6" w:space="0"/>
            </w:tcBorders>
          </w:tcPr>
          <w:p w14:paraId="19EF6D9A">
            <w:pPr>
              <w:spacing w:line="360" w:lineRule="auto"/>
              <w:ind w:right="-5"/>
              <w:jc w:val="center"/>
              <w:rPr>
                <w:rFonts w:ascii="宋体" w:hAnsi="宋体" w:cs="宋体"/>
                <w:color w:val="auto"/>
                <w:szCs w:val="21"/>
                <w:highlight w:val="none"/>
              </w:rPr>
            </w:pPr>
          </w:p>
        </w:tc>
        <w:tc>
          <w:tcPr>
            <w:tcW w:w="1027" w:type="dxa"/>
            <w:tcBorders>
              <w:top w:val="single" w:color="auto" w:sz="4" w:space="0"/>
              <w:left w:val="single" w:color="auto" w:sz="6" w:space="0"/>
              <w:bottom w:val="single" w:color="auto" w:sz="4" w:space="0"/>
              <w:right w:val="single" w:color="auto" w:sz="4" w:space="0"/>
            </w:tcBorders>
          </w:tcPr>
          <w:p w14:paraId="234FA2C2">
            <w:pPr>
              <w:spacing w:line="360" w:lineRule="auto"/>
              <w:ind w:right="-5"/>
              <w:jc w:val="center"/>
              <w:rPr>
                <w:rFonts w:ascii="宋体" w:hAnsi="宋体" w:cs="宋体"/>
                <w:color w:val="auto"/>
                <w:szCs w:val="21"/>
                <w:highlight w:val="none"/>
              </w:rPr>
            </w:pPr>
          </w:p>
        </w:tc>
      </w:tr>
      <w:tr w14:paraId="38609487">
        <w:tblPrEx>
          <w:tblCellMar>
            <w:top w:w="0" w:type="dxa"/>
            <w:left w:w="108" w:type="dxa"/>
            <w:bottom w:w="0" w:type="dxa"/>
            <w:right w:w="108" w:type="dxa"/>
          </w:tblCellMar>
        </w:tblPrEx>
        <w:trPr>
          <w:cantSplit/>
          <w:trHeight w:val="655" w:hRule="atLeast"/>
          <w:jc w:val="center"/>
        </w:trPr>
        <w:tc>
          <w:tcPr>
            <w:tcW w:w="802" w:type="dxa"/>
            <w:tcBorders>
              <w:top w:val="single" w:color="auto" w:sz="4" w:space="0"/>
              <w:left w:val="single" w:color="auto" w:sz="4" w:space="0"/>
              <w:bottom w:val="single" w:color="auto" w:sz="4" w:space="0"/>
              <w:right w:val="single" w:color="auto" w:sz="6" w:space="0"/>
            </w:tcBorders>
          </w:tcPr>
          <w:p w14:paraId="2266959C">
            <w:pPr>
              <w:spacing w:line="360" w:lineRule="auto"/>
              <w:ind w:right="-5"/>
              <w:jc w:val="center"/>
              <w:rPr>
                <w:rFonts w:ascii="宋体" w:hAnsi="宋体" w:cs="宋体"/>
                <w:color w:val="auto"/>
                <w:szCs w:val="21"/>
                <w:highlight w:val="none"/>
              </w:rPr>
            </w:pPr>
          </w:p>
        </w:tc>
        <w:tc>
          <w:tcPr>
            <w:tcW w:w="3545" w:type="dxa"/>
            <w:tcBorders>
              <w:top w:val="single" w:color="auto" w:sz="4" w:space="0"/>
              <w:left w:val="single" w:color="auto" w:sz="4" w:space="0"/>
              <w:bottom w:val="single" w:color="auto" w:sz="4" w:space="0"/>
              <w:right w:val="single" w:color="auto" w:sz="6" w:space="0"/>
            </w:tcBorders>
          </w:tcPr>
          <w:p w14:paraId="1753D40D">
            <w:pPr>
              <w:spacing w:line="360" w:lineRule="auto"/>
              <w:ind w:right="-5"/>
              <w:jc w:val="center"/>
              <w:rPr>
                <w:rFonts w:ascii="宋体" w:hAnsi="宋体" w:cs="宋体"/>
                <w:color w:val="auto"/>
                <w:szCs w:val="21"/>
                <w:highlight w:val="none"/>
              </w:rPr>
            </w:pPr>
          </w:p>
        </w:tc>
        <w:tc>
          <w:tcPr>
            <w:tcW w:w="951" w:type="dxa"/>
            <w:tcBorders>
              <w:top w:val="single" w:color="auto" w:sz="4" w:space="0"/>
              <w:left w:val="single" w:color="auto" w:sz="6" w:space="0"/>
              <w:bottom w:val="single" w:color="auto" w:sz="4" w:space="0"/>
              <w:right w:val="single" w:color="auto" w:sz="6" w:space="0"/>
            </w:tcBorders>
          </w:tcPr>
          <w:p w14:paraId="3652AA56">
            <w:pPr>
              <w:spacing w:line="360" w:lineRule="auto"/>
              <w:ind w:right="-5"/>
              <w:jc w:val="center"/>
              <w:rPr>
                <w:rFonts w:ascii="宋体" w:hAnsi="宋体" w:cs="宋体"/>
                <w:color w:val="auto"/>
                <w:szCs w:val="21"/>
                <w:highlight w:val="none"/>
              </w:rPr>
            </w:pPr>
          </w:p>
        </w:tc>
        <w:tc>
          <w:tcPr>
            <w:tcW w:w="923" w:type="dxa"/>
            <w:tcBorders>
              <w:top w:val="single" w:color="auto" w:sz="4" w:space="0"/>
              <w:left w:val="single" w:color="auto" w:sz="6" w:space="0"/>
              <w:bottom w:val="single" w:color="auto" w:sz="4" w:space="0"/>
              <w:right w:val="single" w:color="auto" w:sz="6" w:space="0"/>
            </w:tcBorders>
          </w:tcPr>
          <w:p w14:paraId="57E01385">
            <w:pPr>
              <w:spacing w:line="360" w:lineRule="auto"/>
              <w:ind w:right="-5"/>
              <w:jc w:val="center"/>
              <w:rPr>
                <w:rFonts w:ascii="宋体" w:hAnsi="宋体" w:cs="宋体"/>
                <w:color w:val="auto"/>
                <w:szCs w:val="21"/>
                <w:highlight w:val="none"/>
              </w:rPr>
            </w:pPr>
          </w:p>
        </w:tc>
        <w:tc>
          <w:tcPr>
            <w:tcW w:w="1107" w:type="dxa"/>
            <w:tcBorders>
              <w:top w:val="single" w:color="auto" w:sz="4" w:space="0"/>
              <w:left w:val="single" w:color="auto" w:sz="6" w:space="0"/>
              <w:bottom w:val="single" w:color="auto" w:sz="4" w:space="0"/>
              <w:right w:val="single" w:color="auto" w:sz="6" w:space="0"/>
            </w:tcBorders>
          </w:tcPr>
          <w:p w14:paraId="4FF7313D">
            <w:pPr>
              <w:spacing w:line="360" w:lineRule="auto"/>
              <w:ind w:right="-5"/>
              <w:jc w:val="center"/>
              <w:rPr>
                <w:rFonts w:ascii="宋体" w:hAnsi="宋体" w:cs="宋体"/>
                <w:color w:val="auto"/>
                <w:szCs w:val="21"/>
                <w:highlight w:val="none"/>
              </w:rPr>
            </w:pPr>
          </w:p>
        </w:tc>
        <w:tc>
          <w:tcPr>
            <w:tcW w:w="1288" w:type="dxa"/>
            <w:tcBorders>
              <w:top w:val="single" w:color="auto" w:sz="4" w:space="0"/>
              <w:left w:val="single" w:color="auto" w:sz="6" w:space="0"/>
              <w:bottom w:val="single" w:color="auto" w:sz="4" w:space="0"/>
              <w:right w:val="single" w:color="auto" w:sz="6" w:space="0"/>
            </w:tcBorders>
          </w:tcPr>
          <w:p w14:paraId="1D91F455">
            <w:pPr>
              <w:spacing w:line="360" w:lineRule="auto"/>
              <w:ind w:right="-5"/>
              <w:jc w:val="center"/>
              <w:rPr>
                <w:rFonts w:ascii="宋体" w:hAnsi="宋体" w:cs="宋体"/>
                <w:color w:val="auto"/>
                <w:szCs w:val="21"/>
                <w:highlight w:val="none"/>
              </w:rPr>
            </w:pPr>
          </w:p>
        </w:tc>
        <w:tc>
          <w:tcPr>
            <w:tcW w:w="1027" w:type="dxa"/>
            <w:tcBorders>
              <w:top w:val="single" w:color="auto" w:sz="4" w:space="0"/>
              <w:left w:val="single" w:color="auto" w:sz="6" w:space="0"/>
              <w:bottom w:val="single" w:color="auto" w:sz="4" w:space="0"/>
              <w:right w:val="single" w:color="auto" w:sz="4" w:space="0"/>
            </w:tcBorders>
          </w:tcPr>
          <w:p w14:paraId="1D90A76E">
            <w:pPr>
              <w:spacing w:line="360" w:lineRule="auto"/>
              <w:ind w:right="-5"/>
              <w:jc w:val="center"/>
              <w:rPr>
                <w:rFonts w:ascii="宋体" w:hAnsi="宋体" w:cs="宋体"/>
                <w:color w:val="auto"/>
                <w:szCs w:val="21"/>
                <w:highlight w:val="none"/>
              </w:rPr>
            </w:pPr>
          </w:p>
        </w:tc>
      </w:tr>
      <w:tr w14:paraId="4A39F7F5">
        <w:trPr>
          <w:cantSplit/>
          <w:trHeight w:val="655" w:hRule="atLeast"/>
          <w:jc w:val="center"/>
        </w:trPr>
        <w:tc>
          <w:tcPr>
            <w:tcW w:w="802" w:type="dxa"/>
            <w:tcBorders>
              <w:top w:val="single" w:color="auto" w:sz="4" w:space="0"/>
              <w:left w:val="single" w:color="auto" w:sz="4" w:space="0"/>
              <w:bottom w:val="single" w:color="auto" w:sz="4" w:space="0"/>
              <w:right w:val="single" w:color="auto" w:sz="6" w:space="0"/>
            </w:tcBorders>
          </w:tcPr>
          <w:p w14:paraId="3D87E4E6">
            <w:pPr>
              <w:spacing w:line="360" w:lineRule="auto"/>
              <w:ind w:right="-5"/>
              <w:jc w:val="center"/>
              <w:rPr>
                <w:rFonts w:ascii="宋体" w:hAnsi="宋体" w:cs="宋体"/>
                <w:color w:val="auto"/>
                <w:szCs w:val="21"/>
                <w:highlight w:val="none"/>
              </w:rPr>
            </w:pPr>
          </w:p>
        </w:tc>
        <w:tc>
          <w:tcPr>
            <w:tcW w:w="3545" w:type="dxa"/>
            <w:tcBorders>
              <w:top w:val="single" w:color="auto" w:sz="4" w:space="0"/>
              <w:left w:val="single" w:color="auto" w:sz="4" w:space="0"/>
              <w:bottom w:val="single" w:color="auto" w:sz="4" w:space="0"/>
              <w:right w:val="single" w:color="auto" w:sz="6" w:space="0"/>
            </w:tcBorders>
          </w:tcPr>
          <w:p w14:paraId="56147654">
            <w:pPr>
              <w:spacing w:line="360" w:lineRule="auto"/>
              <w:ind w:right="-5"/>
              <w:jc w:val="center"/>
              <w:rPr>
                <w:rFonts w:ascii="宋体" w:hAnsi="宋体" w:cs="宋体"/>
                <w:color w:val="auto"/>
                <w:szCs w:val="21"/>
                <w:highlight w:val="none"/>
              </w:rPr>
            </w:pPr>
          </w:p>
        </w:tc>
        <w:tc>
          <w:tcPr>
            <w:tcW w:w="951" w:type="dxa"/>
            <w:tcBorders>
              <w:top w:val="single" w:color="auto" w:sz="4" w:space="0"/>
              <w:left w:val="single" w:color="auto" w:sz="6" w:space="0"/>
              <w:bottom w:val="single" w:color="auto" w:sz="4" w:space="0"/>
              <w:right w:val="single" w:color="auto" w:sz="6" w:space="0"/>
            </w:tcBorders>
          </w:tcPr>
          <w:p w14:paraId="277DB857">
            <w:pPr>
              <w:spacing w:line="360" w:lineRule="auto"/>
              <w:ind w:right="-5"/>
              <w:jc w:val="center"/>
              <w:rPr>
                <w:rFonts w:ascii="宋体" w:hAnsi="宋体" w:cs="宋体"/>
                <w:color w:val="auto"/>
                <w:szCs w:val="21"/>
                <w:highlight w:val="none"/>
              </w:rPr>
            </w:pPr>
          </w:p>
        </w:tc>
        <w:tc>
          <w:tcPr>
            <w:tcW w:w="923" w:type="dxa"/>
            <w:tcBorders>
              <w:top w:val="single" w:color="auto" w:sz="4" w:space="0"/>
              <w:left w:val="single" w:color="auto" w:sz="6" w:space="0"/>
              <w:bottom w:val="single" w:color="auto" w:sz="4" w:space="0"/>
              <w:right w:val="single" w:color="auto" w:sz="6" w:space="0"/>
            </w:tcBorders>
          </w:tcPr>
          <w:p w14:paraId="6BF741E3">
            <w:pPr>
              <w:spacing w:line="360" w:lineRule="auto"/>
              <w:ind w:right="-5"/>
              <w:jc w:val="center"/>
              <w:rPr>
                <w:rFonts w:ascii="宋体" w:hAnsi="宋体" w:cs="宋体"/>
                <w:color w:val="auto"/>
                <w:szCs w:val="21"/>
                <w:highlight w:val="none"/>
              </w:rPr>
            </w:pPr>
          </w:p>
        </w:tc>
        <w:tc>
          <w:tcPr>
            <w:tcW w:w="1107" w:type="dxa"/>
            <w:tcBorders>
              <w:top w:val="single" w:color="auto" w:sz="4" w:space="0"/>
              <w:left w:val="single" w:color="auto" w:sz="6" w:space="0"/>
              <w:bottom w:val="single" w:color="auto" w:sz="4" w:space="0"/>
              <w:right w:val="single" w:color="auto" w:sz="6" w:space="0"/>
            </w:tcBorders>
          </w:tcPr>
          <w:p w14:paraId="173685E2">
            <w:pPr>
              <w:spacing w:line="360" w:lineRule="auto"/>
              <w:ind w:right="-5"/>
              <w:jc w:val="center"/>
              <w:rPr>
                <w:rFonts w:ascii="宋体" w:hAnsi="宋体" w:cs="宋体"/>
                <w:color w:val="auto"/>
                <w:szCs w:val="21"/>
                <w:highlight w:val="none"/>
              </w:rPr>
            </w:pPr>
          </w:p>
        </w:tc>
        <w:tc>
          <w:tcPr>
            <w:tcW w:w="1288" w:type="dxa"/>
            <w:tcBorders>
              <w:top w:val="single" w:color="auto" w:sz="4" w:space="0"/>
              <w:left w:val="single" w:color="auto" w:sz="6" w:space="0"/>
              <w:bottom w:val="single" w:color="auto" w:sz="4" w:space="0"/>
              <w:right w:val="single" w:color="auto" w:sz="6" w:space="0"/>
            </w:tcBorders>
          </w:tcPr>
          <w:p w14:paraId="58CDFB83">
            <w:pPr>
              <w:spacing w:line="360" w:lineRule="auto"/>
              <w:ind w:right="-5"/>
              <w:jc w:val="center"/>
              <w:rPr>
                <w:rFonts w:ascii="宋体" w:hAnsi="宋体" w:cs="宋体"/>
                <w:color w:val="auto"/>
                <w:szCs w:val="21"/>
                <w:highlight w:val="none"/>
              </w:rPr>
            </w:pPr>
          </w:p>
        </w:tc>
        <w:tc>
          <w:tcPr>
            <w:tcW w:w="1027" w:type="dxa"/>
            <w:tcBorders>
              <w:top w:val="single" w:color="auto" w:sz="4" w:space="0"/>
              <w:left w:val="single" w:color="auto" w:sz="6" w:space="0"/>
              <w:bottom w:val="single" w:color="auto" w:sz="4" w:space="0"/>
              <w:right w:val="single" w:color="auto" w:sz="4" w:space="0"/>
            </w:tcBorders>
          </w:tcPr>
          <w:p w14:paraId="7385A7C4">
            <w:pPr>
              <w:spacing w:line="360" w:lineRule="auto"/>
              <w:ind w:right="-5"/>
              <w:jc w:val="center"/>
              <w:rPr>
                <w:rFonts w:ascii="宋体" w:hAnsi="宋体" w:cs="宋体"/>
                <w:color w:val="auto"/>
                <w:szCs w:val="21"/>
                <w:highlight w:val="none"/>
              </w:rPr>
            </w:pPr>
          </w:p>
        </w:tc>
      </w:tr>
      <w:tr w14:paraId="18BAC7CD">
        <w:tblPrEx>
          <w:tblCellMar>
            <w:top w:w="0" w:type="dxa"/>
            <w:left w:w="108" w:type="dxa"/>
            <w:bottom w:w="0" w:type="dxa"/>
            <w:right w:w="108" w:type="dxa"/>
          </w:tblCellMar>
        </w:tblPrEx>
        <w:trPr>
          <w:cantSplit/>
          <w:trHeight w:val="655" w:hRule="atLeast"/>
          <w:jc w:val="center"/>
        </w:trPr>
        <w:tc>
          <w:tcPr>
            <w:tcW w:w="802" w:type="dxa"/>
            <w:tcBorders>
              <w:top w:val="single" w:color="auto" w:sz="4" w:space="0"/>
              <w:left w:val="single" w:color="auto" w:sz="4" w:space="0"/>
              <w:bottom w:val="single" w:color="auto" w:sz="4" w:space="0"/>
              <w:right w:val="single" w:color="auto" w:sz="6" w:space="0"/>
            </w:tcBorders>
          </w:tcPr>
          <w:p w14:paraId="1CE3B946">
            <w:pPr>
              <w:spacing w:line="360" w:lineRule="auto"/>
              <w:ind w:right="-5"/>
              <w:jc w:val="center"/>
              <w:rPr>
                <w:rFonts w:ascii="宋体" w:hAnsi="宋体" w:cs="宋体"/>
                <w:color w:val="auto"/>
                <w:szCs w:val="21"/>
                <w:highlight w:val="none"/>
              </w:rPr>
            </w:pPr>
          </w:p>
        </w:tc>
        <w:tc>
          <w:tcPr>
            <w:tcW w:w="3545" w:type="dxa"/>
            <w:tcBorders>
              <w:top w:val="single" w:color="auto" w:sz="4" w:space="0"/>
              <w:left w:val="single" w:color="auto" w:sz="4" w:space="0"/>
              <w:bottom w:val="single" w:color="auto" w:sz="4" w:space="0"/>
              <w:right w:val="single" w:color="auto" w:sz="6" w:space="0"/>
            </w:tcBorders>
          </w:tcPr>
          <w:p w14:paraId="016D3E14">
            <w:pPr>
              <w:spacing w:line="360" w:lineRule="auto"/>
              <w:ind w:right="-5"/>
              <w:jc w:val="center"/>
              <w:rPr>
                <w:rFonts w:ascii="宋体" w:hAnsi="宋体" w:cs="宋体"/>
                <w:color w:val="auto"/>
                <w:szCs w:val="21"/>
                <w:highlight w:val="none"/>
              </w:rPr>
            </w:pPr>
          </w:p>
        </w:tc>
        <w:tc>
          <w:tcPr>
            <w:tcW w:w="951" w:type="dxa"/>
            <w:tcBorders>
              <w:top w:val="single" w:color="auto" w:sz="4" w:space="0"/>
              <w:left w:val="single" w:color="auto" w:sz="6" w:space="0"/>
              <w:bottom w:val="single" w:color="auto" w:sz="4" w:space="0"/>
              <w:right w:val="single" w:color="auto" w:sz="6" w:space="0"/>
            </w:tcBorders>
          </w:tcPr>
          <w:p w14:paraId="06F435A4">
            <w:pPr>
              <w:spacing w:line="360" w:lineRule="auto"/>
              <w:ind w:right="-5"/>
              <w:jc w:val="center"/>
              <w:rPr>
                <w:rFonts w:ascii="宋体" w:hAnsi="宋体" w:cs="宋体"/>
                <w:color w:val="auto"/>
                <w:szCs w:val="21"/>
                <w:highlight w:val="none"/>
              </w:rPr>
            </w:pPr>
          </w:p>
        </w:tc>
        <w:tc>
          <w:tcPr>
            <w:tcW w:w="923" w:type="dxa"/>
            <w:tcBorders>
              <w:top w:val="single" w:color="auto" w:sz="4" w:space="0"/>
              <w:left w:val="single" w:color="auto" w:sz="6" w:space="0"/>
              <w:bottom w:val="single" w:color="auto" w:sz="4" w:space="0"/>
              <w:right w:val="single" w:color="auto" w:sz="6" w:space="0"/>
            </w:tcBorders>
          </w:tcPr>
          <w:p w14:paraId="0FD02A62">
            <w:pPr>
              <w:spacing w:line="360" w:lineRule="auto"/>
              <w:ind w:right="-5"/>
              <w:jc w:val="center"/>
              <w:rPr>
                <w:rFonts w:ascii="宋体" w:hAnsi="宋体" w:cs="宋体"/>
                <w:color w:val="auto"/>
                <w:szCs w:val="21"/>
                <w:highlight w:val="none"/>
              </w:rPr>
            </w:pPr>
          </w:p>
        </w:tc>
        <w:tc>
          <w:tcPr>
            <w:tcW w:w="1107" w:type="dxa"/>
            <w:tcBorders>
              <w:top w:val="single" w:color="auto" w:sz="4" w:space="0"/>
              <w:left w:val="single" w:color="auto" w:sz="6" w:space="0"/>
              <w:bottom w:val="single" w:color="auto" w:sz="4" w:space="0"/>
              <w:right w:val="single" w:color="auto" w:sz="6" w:space="0"/>
            </w:tcBorders>
          </w:tcPr>
          <w:p w14:paraId="1F194F38">
            <w:pPr>
              <w:spacing w:line="360" w:lineRule="auto"/>
              <w:ind w:right="-5"/>
              <w:jc w:val="center"/>
              <w:rPr>
                <w:rFonts w:ascii="宋体" w:hAnsi="宋体" w:cs="宋体"/>
                <w:color w:val="auto"/>
                <w:szCs w:val="21"/>
                <w:highlight w:val="none"/>
              </w:rPr>
            </w:pPr>
          </w:p>
        </w:tc>
        <w:tc>
          <w:tcPr>
            <w:tcW w:w="1288" w:type="dxa"/>
            <w:tcBorders>
              <w:top w:val="single" w:color="auto" w:sz="4" w:space="0"/>
              <w:left w:val="single" w:color="auto" w:sz="6" w:space="0"/>
              <w:bottom w:val="single" w:color="auto" w:sz="4" w:space="0"/>
              <w:right w:val="single" w:color="auto" w:sz="6" w:space="0"/>
            </w:tcBorders>
          </w:tcPr>
          <w:p w14:paraId="72DE0CAA">
            <w:pPr>
              <w:spacing w:line="360" w:lineRule="auto"/>
              <w:ind w:right="-5"/>
              <w:jc w:val="center"/>
              <w:rPr>
                <w:rFonts w:ascii="宋体" w:hAnsi="宋体" w:cs="宋体"/>
                <w:color w:val="auto"/>
                <w:szCs w:val="21"/>
                <w:highlight w:val="none"/>
              </w:rPr>
            </w:pPr>
          </w:p>
        </w:tc>
        <w:tc>
          <w:tcPr>
            <w:tcW w:w="1027" w:type="dxa"/>
            <w:tcBorders>
              <w:top w:val="single" w:color="auto" w:sz="4" w:space="0"/>
              <w:left w:val="single" w:color="auto" w:sz="6" w:space="0"/>
              <w:bottom w:val="single" w:color="auto" w:sz="4" w:space="0"/>
              <w:right w:val="single" w:color="auto" w:sz="4" w:space="0"/>
            </w:tcBorders>
          </w:tcPr>
          <w:p w14:paraId="4320D5E2">
            <w:pPr>
              <w:spacing w:line="360" w:lineRule="auto"/>
              <w:ind w:right="-5"/>
              <w:jc w:val="center"/>
              <w:rPr>
                <w:rFonts w:ascii="宋体" w:hAnsi="宋体" w:cs="宋体"/>
                <w:color w:val="auto"/>
                <w:szCs w:val="21"/>
                <w:highlight w:val="none"/>
              </w:rPr>
            </w:pPr>
          </w:p>
        </w:tc>
      </w:tr>
      <w:tr w14:paraId="063A99E2">
        <w:tblPrEx>
          <w:tblCellMar>
            <w:top w:w="0" w:type="dxa"/>
            <w:left w:w="108" w:type="dxa"/>
            <w:bottom w:w="0" w:type="dxa"/>
            <w:right w:w="108" w:type="dxa"/>
          </w:tblCellMar>
        </w:tblPrEx>
        <w:trPr>
          <w:cantSplit/>
          <w:trHeight w:val="655" w:hRule="atLeast"/>
          <w:jc w:val="center"/>
        </w:trPr>
        <w:tc>
          <w:tcPr>
            <w:tcW w:w="802" w:type="dxa"/>
            <w:tcBorders>
              <w:top w:val="single" w:color="auto" w:sz="4" w:space="0"/>
              <w:left w:val="single" w:color="auto" w:sz="4" w:space="0"/>
              <w:bottom w:val="single" w:color="auto" w:sz="4" w:space="0"/>
              <w:right w:val="single" w:color="auto" w:sz="6" w:space="0"/>
            </w:tcBorders>
          </w:tcPr>
          <w:p w14:paraId="4177A277">
            <w:pPr>
              <w:spacing w:line="360" w:lineRule="auto"/>
              <w:ind w:right="-5"/>
              <w:jc w:val="center"/>
              <w:rPr>
                <w:rFonts w:ascii="宋体" w:hAnsi="宋体" w:cs="宋体"/>
                <w:color w:val="auto"/>
                <w:szCs w:val="21"/>
                <w:highlight w:val="none"/>
              </w:rPr>
            </w:pPr>
          </w:p>
        </w:tc>
        <w:tc>
          <w:tcPr>
            <w:tcW w:w="3545" w:type="dxa"/>
            <w:tcBorders>
              <w:top w:val="single" w:color="auto" w:sz="4" w:space="0"/>
              <w:left w:val="single" w:color="auto" w:sz="4" w:space="0"/>
              <w:bottom w:val="single" w:color="auto" w:sz="4" w:space="0"/>
              <w:right w:val="single" w:color="auto" w:sz="6" w:space="0"/>
            </w:tcBorders>
          </w:tcPr>
          <w:p w14:paraId="18427196">
            <w:pPr>
              <w:spacing w:line="360" w:lineRule="auto"/>
              <w:ind w:right="-5"/>
              <w:jc w:val="center"/>
              <w:rPr>
                <w:rFonts w:ascii="宋体" w:hAnsi="宋体" w:cs="宋体"/>
                <w:color w:val="auto"/>
                <w:szCs w:val="21"/>
                <w:highlight w:val="none"/>
              </w:rPr>
            </w:pPr>
          </w:p>
        </w:tc>
        <w:tc>
          <w:tcPr>
            <w:tcW w:w="951" w:type="dxa"/>
            <w:tcBorders>
              <w:top w:val="single" w:color="auto" w:sz="4" w:space="0"/>
              <w:left w:val="single" w:color="auto" w:sz="6" w:space="0"/>
              <w:bottom w:val="single" w:color="auto" w:sz="4" w:space="0"/>
              <w:right w:val="single" w:color="auto" w:sz="6" w:space="0"/>
            </w:tcBorders>
          </w:tcPr>
          <w:p w14:paraId="1C8FC725">
            <w:pPr>
              <w:spacing w:line="360" w:lineRule="auto"/>
              <w:ind w:right="-5"/>
              <w:jc w:val="center"/>
              <w:rPr>
                <w:rFonts w:ascii="宋体" w:hAnsi="宋体" w:cs="宋体"/>
                <w:color w:val="auto"/>
                <w:szCs w:val="21"/>
                <w:highlight w:val="none"/>
              </w:rPr>
            </w:pPr>
          </w:p>
        </w:tc>
        <w:tc>
          <w:tcPr>
            <w:tcW w:w="923" w:type="dxa"/>
            <w:tcBorders>
              <w:top w:val="single" w:color="auto" w:sz="4" w:space="0"/>
              <w:left w:val="single" w:color="auto" w:sz="6" w:space="0"/>
              <w:bottom w:val="single" w:color="auto" w:sz="4" w:space="0"/>
              <w:right w:val="single" w:color="auto" w:sz="6" w:space="0"/>
            </w:tcBorders>
          </w:tcPr>
          <w:p w14:paraId="39CB8DF0">
            <w:pPr>
              <w:spacing w:line="360" w:lineRule="auto"/>
              <w:ind w:right="-5"/>
              <w:jc w:val="center"/>
              <w:rPr>
                <w:rFonts w:ascii="宋体" w:hAnsi="宋体" w:cs="宋体"/>
                <w:color w:val="auto"/>
                <w:szCs w:val="21"/>
                <w:highlight w:val="none"/>
              </w:rPr>
            </w:pPr>
          </w:p>
        </w:tc>
        <w:tc>
          <w:tcPr>
            <w:tcW w:w="1107" w:type="dxa"/>
            <w:tcBorders>
              <w:top w:val="single" w:color="auto" w:sz="4" w:space="0"/>
              <w:left w:val="single" w:color="auto" w:sz="6" w:space="0"/>
              <w:bottom w:val="single" w:color="auto" w:sz="4" w:space="0"/>
              <w:right w:val="single" w:color="auto" w:sz="6" w:space="0"/>
            </w:tcBorders>
          </w:tcPr>
          <w:p w14:paraId="37C0E8F3">
            <w:pPr>
              <w:spacing w:line="360" w:lineRule="auto"/>
              <w:ind w:right="-5"/>
              <w:jc w:val="center"/>
              <w:rPr>
                <w:rFonts w:ascii="宋体" w:hAnsi="宋体" w:cs="宋体"/>
                <w:color w:val="auto"/>
                <w:szCs w:val="21"/>
                <w:highlight w:val="none"/>
              </w:rPr>
            </w:pPr>
          </w:p>
        </w:tc>
        <w:tc>
          <w:tcPr>
            <w:tcW w:w="1288" w:type="dxa"/>
            <w:tcBorders>
              <w:top w:val="single" w:color="auto" w:sz="4" w:space="0"/>
              <w:left w:val="single" w:color="auto" w:sz="6" w:space="0"/>
              <w:bottom w:val="single" w:color="auto" w:sz="4" w:space="0"/>
              <w:right w:val="single" w:color="auto" w:sz="6" w:space="0"/>
            </w:tcBorders>
          </w:tcPr>
          <w:p w14:paraId="2141DA23">
            <w:pPr>
              <w:spacing w:line="360" w:lineRule="auto"/>
              <w:ind w:right="-5"/>
              <w:jc w:val="center"/>
              <w:rPr>
                <w:rFonts w:ascii="宋体" w:hAnsi="宋体" w:cs="宋体"/>
                <w:color w:val="auto"/>
                <w:szCs w:val="21"/>
                <w:highlight w:val="none"/>
              </w:rPr>
            </w:pPr>
          </w:p>
        </w:tc>
        <w:tc>
          <w:tcPr>
            <w:tcW w:w="1027" w:type="dxa"/>
            <w:tcBorders>
              <w:top w:val="single" w:color="auto" w:sz="4" w:space="0"/>
              <w:left w:val="single" w:color="auto" w:sz="6" w:space="0"/>
              <w:bottom w:val="single" w:color="auto" w:sz="4" w:space="0"/>
              <w:right w:val="single" w:color="auto" w:sz="4" w:space="0"/>
            </w:tcBorders>
          </w:tcPr>
          <w:p w14:paraId="2CD04B0F">
            <w:pPr>
              <w:spacing w:line="360" w:lineRule="auto"/>
              <w:ind w:right="-5"/>
              <w:jc w:val="center"/>
              <w:rPr>
                <w:rFonts w:ascii="宋体" w:hAnsi="宋体" w:cs="宋体"/>
                <w:color w:val="auto"/>
                <w:szCs w:val="21"/>
                <w:highlight w:val="none"/>
              </w:rPr>
            </w:pPr>
          </w:p>
        </w:tc>
      </w:tr>
      <w:tr w14:paraId="3F75A67C">
        <w:trPr>
          <w:cantSplit/>
          <w:trHeight w:val="655" w:hRule="atLeast"/>
          <w:jc w:val="center"/>
        </w:trPr>
        <w:tc>
          <w:tcPr>
            <w:tcW w:w="802" w:type="dxa"/>
            <w:tcBorders>
              <w:top w:val="single" w:color="auto" w:sz="4" w:space="0"/>
              <w:left w:val="single" w:color="auto" w:sz="4" w:space="0"/>
              <w:bottom w:val="single" w:color="auto" w:sz="4" w:space="0"/>
              <w:right w:val="single" w:color="auto" w:sz="6" w:space="0"/>
            </w:tcBorders>
          </w:tcPr>
          <w:p w14:paraId="24A05963">
            <w:pPr>
              <w:spacing w:line="360" w:lineRule="auto"/>
              <w:ind w:right="-5"/>
              <w:jc w:val="center"/>
              <w:rPr>
                <w:rFonts w:ascii="宋体" w:hAnsi="宋体" w:cs="宋体"/>
                <w:color w:val="auto"/>
                <w:szCs w:val="21"/>
                <w:highlight w:val="none"/>
              </w:rPr>
            </w:pPr>
          </w:p>
        </w:tc>
        <w:tc>
          <w:tcPr>
            <w:tcW w:w="3545" w:type="dxa"/>
            <w:tcBorders>
              <w:top w:val="single" w:color="auto" w:sz="4" w:space="0"/>
              <w:left w:val="single" w:color="auto" w:sz="4" w:space="0"/>
              <w:bottom w:val="single" w:color="auto" w:sz="4" w:space="0"/>
              <w:right w:val="single" w:color="auto" w:sz="6" w:space="0"/>
            </w:tcBorders>
          </w:tcPr>
          <w:p w14:paraId="0F7BB5DE">
            <w:pPr>
              <w:spacing w:line="360" w:lineRule="auto"/>
              <w:ind w:right="-5"/>
              <w:jc w:val="center"/>
              <w:rPr>
                <w:rFonts w:ascii="宋体" w:hAnsi="宋体" w:cs="宋体"/>
                <w:color w:val="auto"/>
                <w:szCs w:val="21"/>
                <w:highlight w:val="none"/>
              </w:rPr>
            </w:pPr>
          </w:p>
        </w:tc>
        <w:tc>
          <w:tcPr>
            <w:tcW w:w="951" w:type="dxa"/>
            <w:tcBorders>
              <w:top w:val="single" w:color="auto" w:sz="4" w:space="0"/>
              <w:left w:val="single" w:color="auto" w:sz="6" w:space="0"/>
              <w:bottom w:val="single" w:color="auto" w:sz="4" w:space="0"/>
              <w:right w:val="single" w:color="auto" w:sz="6" w:space="0"/>
            </w:tcBorders>
          </w:tcPr>
          <w:p w14:paraId="67DE4738">
            <w:pPr>
              <w:spacing w:line="360" w:lineRule="auto"/>
              <w:ind w:right="-5"/>
              <w:jc w:val="center"/>
              <w:rPr>
                <w:rFonts w:ascii="宋体" w:hAnsi="宋体" w:cs="宋体"/>
                <w:color w:val="auto"/>
                <w:szCs w:val="21"/>
                <w:highlight w:val="none"/>
              </w:rPr>
            </w:pPr>
          </w:p>
        </w:tc>
        <w:tc>
          <w:tcPr>
            <w:tcW w:w="923" w:type="dxa"/>
            <w:tcBorders>
              <w:top w:val="single" w:color="auto" w:sz="4" w:space="0"/>
              <w:left w:val="single" w:color="auto" w:sz="6" w:space="0"/>
              <w:bottom w:val="single" w:color="auto" w:sz="4" w:space="0"/>
              <w:right w:val="single" w:color="auto" w:sz="6" w:space="0"/>
            </w:tcBorders>
          </w:tcPr>
          <w:p w14:paraId="42CB3545">
            <w:pPr>
              <w:spacing w:line="360" w:lineRule="auto"/>
              <w:ind w:right="-5"/>
              <w:jc w:val="center"/>
              <w:rPr>
                <w:rFonts w:ascii="宋体" w:hAnsi="宋体" w:cs="宋体"/>
                <w:color w:val="auto"/>
                <w:szCs w:val="21"/>
                <w:highlight w:val="none"/>
              </w:rPr>
            </w:pPr>
          </w:p>
        </w:tc>
        <w:tc>
          <w:tcPr>
            <w:tcW w:w="1107" w:type="dxa"/>
            <w:tcBorders>
              <w:top w:val="single" w:color="auto" w:sz="4" w:space="0"/>
              <w:left w:val="single" w:color="auto" w:sz="6" w:space="0"/>
              <w:bottom w:val="single" w:color="auto" w:sz="4" w:space="0"/>
              <w:right w:val="single" w:color="auto" w:sz="6" w:space="0"/>
            </w:tcBorders>
          </w:tcPr>
          <w:p w14:paraId="3E824D71">
            <w:pPr>
              <w:spacing w:line="360" w:lineRule="auto"/>
              <w:ind w:right="-5"/>
              <w:jc w:val="center"/>
              <w:rPr>
                <w:rFonts w:ascii="宋体" w:hAnsi="宋体" w:cs="宋体"/>
                <w:color w:val="auto"/>
                <w:szCs w:val="21"/>
                <w:highlight w:val="none"/>
              </w:rPr>
            </w:pPr>
          </w:p>
        </w:tc>
        <w:tc>
          <w:tcPr>
            <w:tcW w:w="1288" w:type="dxa"/>
            <w:tcBorders>
              <w:top w:val="single" w:color="auto" w:sz="4" w:space="0"/>
              <w:left w:val="single" w:color="auto" w:sz="6" w:space="0"/>
              <w:bottom w:val="single" w:color="auto" w:sz="4" w:space="0"/>
              <w:right w:val="single" w:color="auto" w:sz="6" w:space="0"/>
            </w:tcBorders>
          </w:tcPr>
          <w:p w14:paraId="05DC1508">
            <w:pPr>
              <w:spacing w:line="360" w:lineRule="auto"/>
              <w:ind w:right="-5"/>
              <w:jc w:val="center"/>
              <w:rPr>
                <w:rFonts w:ascii="宋体" w:hAnsi="宋体" w:cs="宋体"/>
                <w:color w:val="auto"/>
                <w:szCs w:val="21"/>
                <w:highlight w:val="none"/>
              </w:rPr>
            </w:pPr>
          </w:p>
        </w:tc>
        <w:tc>
          <w:tcPr>
            <w:tcW w:w="1027" w:type="dxa"/>
            <w:tcBorders>
              <w:top w:val="single" w:color="auto" w:sz="4" w:space="0"/>
              <w:left w:val="single" w:color="auto" w:sz="6" w:space="0"/>
              <w:bottom w:val="single" w:color="auto" w:sz="4" w:space="0"/>
              <w:right w:val="single" w:color="auto" w:sz="4" w:space="0"/>
            </w:tcBorders>
          </w:tcPr>
          <w:p w14:paraId="0BC8BC8E">
            <w:pPr>
              <w:spacing w:line="360" w:lineRule="auto"/>
              <w:ind w:right="-5"/>
              <w:jc w:val="center"/>
              <w:rPr>
                <w:rFonts w:ascii="宋体" w:hAnsi="宋体" w:cs="宋体"/>
                <w:color w:val="auto"/>
                <w:szCs w:val="21"/>
                <w:highlight w:val="none"/>
              </w:rPr>
            </w:pPr>
          </w:p>
        </w:tc>
      </w:tr>
      <w:tr w14:paraId="1913F507">
        <w:tblPrEx>
          <w:tblCellMar>
            <w:top w:w="0" w:type="dxa"/>
            <w:left w:w="108" w:type="dxa"/>
            <w:bottom w:w="0" w:type="dxa"/>
            <w:right w:w="108" w:type="dxa"/>
          </w:tblCellMar>
        </w:tblPrEx>
        <w:trPr>
          <w:cantSplit/>
          <w:trHeight w:val="655" w:hRule="atLeast"/>
          <w:jc w:val="center"/>
        </w:trPr>
        <w:tc>
          <w:tcPr>
            <w:tcW w:w="802" w:type="dxa"/>
            <w:tcBorders>
              <w:top w:val="single" w:color="auto" w:sz="4" w:space="0"/>
              <w:left w:val="single" w:color="auto" w:sz="4" w:space="0"/>
              <w:bottom w:val="single" w:color="auto" w:sz="4" w:space="0"/>
              <w:right w:val="single" w:color="auto" w:sz="6" w:space="0"/>
            </w:tcBorders>
          </w:tcPr>
          <w:p w14:paraId="3308DDDF">
            <w:pPr>
              <w:spacing w:line="360" w:lineRule="auto"/>
              <w:ind w:right="-5"/>
              <w:jc w:val="center"/>
              <w:rPr>
                <w:rFonts w:ascii="宋体" w:hAnsi="宋体" w:cs="宋体"/>
                <w:color w:val="auto"/>
                <w:szCs w:val="21"/>
                <w:highlight w:val="none"/>
              </w:rPr>
            </w:pPr>
          </w:p>
        </w:tc>
        <w:tc>
          <w:tcPr>
            <w:tcW w:w="3545" w:type="dxa"/>
            <w:tcBorders>
              <w:top w:val="single" w:color="auto" w:sz="4" w:space="0"/>
              <w:left w:val="single" w:color="auto" w:sz="4" w:space="0"/>
              <w:bottom w:val="single" w:color="auto" w:sz="4" w:space="0"/>
              <w:right w:val="single" w:color="auto" w:sz="6" w:space="0"/>
            </w:tcBorders>
          </w:tcPr>
          <w:p w14:paraId="6402BA03">
            <w:pPr>
              <w:spacing w:line="360" w:lineRule="auto"/>
              <w:ind w:right="-5"/>
              <w:jc w:val="center"/>
              <w:rPr>
                <w:rFonts w:ascii="宋体" w:hAnsi="宋体" w:cs="宋体"/>
                <w:color w:val="auto"/>
                <w:szCs w:val="21"/>
                <w:highlight w:val="none"/>
              </w:rPr>
            </w:pPr>
          </w:p>
        </w:tc>
        <w:tc>
          <w:tcPr>
            <w:tcW w:w="951" w:type="dxa"/>
            <w:tcBorders>
              <w:top w:val="single" w:color="auto" w:sz="4" w:space="0"/>
              <w:left w:val="single" w:color="auto" w:sz="6" w:space="0"/>
              <w:bottom w:val="single" w:color="auto" w:sz="4" w:space="0"/>
              <w:right w:val="single" w:color="auto" w:sz="6" w:space="0"/>
            </w:tcBorders>
          </w:tcPr>
          <w:p w14:paraId="68AB4BBD">
            <w:pPr>
              <w:spacing w:line="360" w:lineRule="auto"/>
              <w:ind w:right="-5"/>
              <w:jc w:val="center"/>
              <w:rPr>
                <w:rFonts w:ascii="宋体" w:hAnsi="宋体" w:cs="宋体"/>
                <w:color w:val="auto"/>
                <w:szCs w:val="21"/>
                <w:highlight w:val="none"/>
              </w:rPr>
            </w:pPr>
          </w:p>
        </w:tc>
        <w:tc>
          <w:tcPr>
            <w:tcW w:w="923" w:type="dxa"/>
            <w:tcBorders>
              <w:top w:val="single" w:color="auto" w:sz="4" w:space="0"/>
              <w:left w:val="single" w:color="auto" w:sz="6" w:space="0"/>
              <w:bottom w:val="single" w:color="auto" w:sz="4" w:space="0"/>
              <w:right w:val="single" w:color="auto" w:sz="6" w:space="0"/>
            </w:tcBorders>
          </w:tcPr>
          <w:p w14:paraId="41AB4D2E">
            <w:pPr>
              <w:spacing w:line="360" w:lineRule="auto"/>
              <w:ind w:right="-5"/>
              <w:jc w:val="center"/>
              <w:rPr>
                <w:rFonts w:ascii="宋体" w:hAnsi="宋体" w:cs="宋体"/>
                <w:color w:val="auto"/>
                <w:szCs w:val="21"/>
                <w:highlight w:val="none"/>
              </w:rPr>
            </w:pPr>
          </w:p>
        </w:tc>
        <w:tc>
          <w:tcPr>
            <w:tcW w:w="1107" w:type="dxa"/>
            <w:tcBorders>
              <w:top w:val="single" w:color="auto" w:sz="4" w:space="0"/>
              <w:left w:val="single" w:color="auto" w:sz="6" w:space="0"/>
              <w:bottom w:val="single" w:color="auto" w:sz="4" w:space="0"/>
              <w:right w:val="single" w:color="auto" w:sz="6" w:space="0"/>
            </w:tcBorders>
          </w:tcPr>
          <w:p w14:paraId="352CE898">
            <w:pPr>
              <w:spacing w:line="360" w:lineRule="auto"/>
              <w:ind w:right="-5"/>
              <w:jc w:val="center"/>
              <w:rPr>
                <w:rFonts w:ascii="宋体" w:hAnsi="宋体" w:cs="宋体"/>
                <w:color w:val="auto"/>
                <w:szCs w:val="21"/>
                <w:highlight w:val="none"/>
              </w:rPr>
            </w:pPr>
          </w:p>
        </w:tc>
        <w:tc>
          <w:tcPr>
            <w:tcW w:w="1288" w:type="dxa"/>
            <w:tcBorders>
              <w:top w:val="single" w:color="auto" w:sz="4" w:space="0"/>
              <w:left w:val="single" w:color="auto" w:sz="6" w:space="0"/>
              <w:bottom w:val="single" w:color="auto" w:sz="4" w:space="0"/>
              <w:right w:val="single" w:color="auto" w:sz="6" w:space="0"/>
            </w:tcBorders>
          </w:tcPr>
          <w:p w14:paraId="1AA7B15E">
            <w:pPr>
              <w:spacing w:line="360" w:lineRule="auto"/>
              <w:ind w:right="-5"/>
              <w:jc w:val="center"/>
              <w:rPr>
                <w:rFonts w:ascii="宋体" w:hAnsi="宋体" w:cs="宋体"/>
                <w:color w:val="auto"/>
                <w:szCs w:val="21"/>
                <w:highlight w:val="none"/>
              </w:rPr>
            </w:pPr>
          </w:p>
        </w:tc>
        <w:tc>
          <w:tcPr>
            <w:tcW w:w="1027" w:type="dxa"/>
            <w:tcBorders>
              <w:top w:val="single" w:color="auto" w:sz="4" w:space="0"/>
              <w:left w:val="single" w:color="auto" w:sz="6" w:space="0"/>
              <w:bottom w:val="single" w:color="auto" w:sz="4" w:space="0"/>
              <w:right w:val="single" w:color="auto" w:sz="4" w:space="0"/>
            </w:tcBorders>
          </w:tcPr>
          <w:p w14:paraId="27BCBC67">
            <w:pPr>
              <w:spacing w:line="360" w:lineRule="auto"/>
              <w:ind w:right="-5"/>
              <w:jc w:val="center"/>
              <w:rPr>
                <w:rFonts w:ascii="宋体" w:hAnsi="宋体" w:cs="宋体"/>
                <w:color w:val="auto"/>
                <w:szCs w:val="21"/>
                <w:highlight w:val="none"/>
              </w:rPr>
            </w:pPr>
          </w:p>
        </w:tc>
      </w:tr>
      <w:tr w14:paraId="3B263A17">
        <w:tblPrEx>
          <w:tblCellMar>
            <w:top w:w="0" w:type="dxa"/>
            <w:left w:w="108" w:type="dxa"/>
            <w:bottom w:w="0" w:type="dxa"/>
            <w:right w:w="108" w:type="dxa"/>
          </w:tblCellMar>
        </w:tblPrEx>
        <w:trPr>
          <w:cantSplit/>
          <w:trHeight w:val="655" w:hRule="atLeast"/>
          <w:jc w:val="center"/>
        </w:trPr>
        <w:tc>
          <w:tcPr>
            <w:tcW w:w="802" w:type="dxa"/>
            <w:tcBorders>
              <w:top w:val="single" w:color="auto" w:sz="4" w:space="0"/>
              <w:left w:val="single" w:color="auto" w:sz="4" w:space="0"/>
              <w:bottom w:val="single" w:color="auto" w:sz="4" w:space="0"/>
              <w:right w:val="single" w:color="auto" w:sz="6" w:space="0"/>
            </w:tcBorders>
          </w:tcPr>
          <w:p w14:paraId="69025B67">
            <w:pPr>
              <w:spacing w:line="360" w:lineRule="auto"/>
              <w:ind w:right="-5"/>
              <w:jc w:val="center"/>
              <w:rPr>
                <w:rFonts w:ascii="宋体" w:hAnsi="宋体" w:cs="宋体"/>
                <w:color w:val="auto"/>
                <w:szCs w:val="21"/>
                <w:highlight w:val="none"/>
              </w:rPr>
            </w:pPr>
          </w:p>
        </w:tc>
        <w:tc>
          <w:tcPr>
            <w:tcW w:w="3545" w:type="dxa"/>
            <w:tcBorders>
              <w:top w:val="single" w:color="auto" w:sz="4" w:space="0"/>
              <w:left w:val="single" w:color="auto" w:sz="4" w:space="0"/>
              <w:bottom w:val="single" w:color="auto" w:sz="4" w:space="0"/>
              <w:right w:val="single" w:color="auto" w:sz="6" w:space="0"/>
            </w:tcBorders>
          </w:tcPr>
          <w:p w14:paraId="64A33C5A">
            <w:pPr>
              <w:spacing w:line="360" w:lineRule="auto"/>
              <w:ind w:right="-5"/>
              <w:jc w:val="center"/>
              <w:rPr>
                <w:rFonts w:ascii="宋体" w:hAnsi="宋体" w:cs="宋体"/>
                <w:color w:val="auto"/>
                <w:szCs w:val="21"/>
                <w:highlight w:val="none"/>
              </w:rPr>
            </w:pPr>
          </w:p>
        </w:tc>
        <w:tc>
          <w:tcPr>
            <w:tcW w:w="951" w:type="dxa"/>
            <w:tcBorders>
              <w:top w:val="single" w:color="auto" w:sz="4" w:space="0"/>
              <w:left w:val="single" w:color="auto" w:sz="6" w:space="0"/>
              <w:bottom w:val="single" w:color="auto" w:sz="4" w:space="0"/>
              <w:right w:val="single" w:color="auto" w:sz="6" w:space="0"/>
            </w:tcBorders>
          </w:tcPr>
          <w:p w14:paraId="06B6D68E">
            <w:pPr>
              <w:spacing w:line="360" w:lineRule="auto"/>
              <w:ind w:right="-5"/>
              <w:jc w:val="center"/>
              <w:rPr>
                <w:rFonts w:ascii="宋体" w:hAnsi="宋体" w:cs="宋体"/>
                <w:color w:val="auto"/>
                <w:szCs w:val="21"/>
                <w:highlight w:val="none"/>
              </w:rPr>
            </w:pPr>
          </w:p>
        </w:tc>
        <w:tc>
          <w:tcPr>
            <w:tcW w:w="923" w:type="dxa"/>
            <w:tcBorders>
              <w:top w:val="single" w:color="auto" w:sz="4" w:space="0"/>
              <w:left w:val="single" w:color="auto" w:sz="6" w:space="0"/>
              <w:bottom w:val="single" w:color="auto" w:sz="4" w:space="0"/>
              <w:right w:val="single" w:color="auto" w:sz="6" w:space="0"/>
            </w:tcBorders>
          </w:tcPr>
          <w:p w14:paraId="1DE71A0C">
            <w:pPr>
              <w:spacing w:line="360" w:lineRule="auto"/>
              <w:ind w:right="-5"/>
              <w:jc w:val="center"/>
              <w:rPr>
                <w:rFonts w:ascii="宋体" w:hAnsi="宋体" w:cs="宋体"/>
                <w:color w:val="auto"/>
                <w:szCs w:val="21"/>
                <w:highlight w:val="none"/>
              </w:rPr>
            </w:pPr>
          </w:p>
        </w:tc>
        <w:tc>
          <w:tcPr>
            <w:tcW w:w="1107" w:type="dxa"/>
            <w:tcBorders>
              <w:top w:val="single" w:color="auto" w:sz="4" w:space="0"/>
              <w:left w:val="single" w:color="auto" w:sz="6" w:space="0"/>
              <w:bottom w:val="single" w:color="auto" w:sz="4" w:space="0"/>
              <w:right w:val="single" w:color="auto" w:sz="6" w:space="0"/>
            </w:tcBorders>
          </w:tcPr>
          <w:p w14:paraId="0CA1612F">
            <w:pPr>
              <w:spacing w:line="360" w:lineRule="auto"/>
              <w:ind w:right="-5"/>
              <w:jc w:val="center"/>
              <w:rPr>
                <w:rFonts w:ascii="宋体" w:hAnsi="宋体" w:cs="宋体"/>
                <w:color w:val="auto"/>
                <w:szCs w:val="21"/>
                <w:highlight w:val="none"/>
              </w:rPr>
            </w:pPr>
          </w:p>
        </w:tc>
        <w:tc>
          <w:tcPr>
            <w:tcW w:w="1288" w:type="dxa"/>
            <w:tcBorders>
              <w:top w:val="single" w:color="auto" w:sz="4" w:space="0"/>
              <w:left w:val="single" w:color="auto" w:sz="6" w:space="0"/>
              <w:bottom w:val="single" w:color="auto" w:sz="4" w:space="0"/>
              <w:right w:val="single" w:color="auto" w:sz="6" w:space="0"/>
            </w:tcBorders>
          </w:tcPr>
          <w:p w14:paraId="6A7B4E16">
            <w:pPr>
              <w:spacing w:line="360" w:lineRule="auto"/>
              <w:ind w:right="-5"/>
              <w:jc w:val="center"/>
              <w:rPr>
                <w:rFonts w:ascii="宋体" w:hAnsi="宋体" w:cs="宋体"/>
                <w:color w:val="auto"/>
                <w:szCs w:val="21"/>
                <w:highlight w:val="none"/>
              </w:rPr>
            </w:pPr>
          </w:p>
        </w:tc>
        <w:tc>
          <w:tcPr>
            <w:tcW w:w="1027" w:type="dxa"/>
            <w:tcBorders>
              <w:top w:val="single" w:color="auto" w:sz="4" w:space="0"/>
              <w:left w:val="single" w:color="auto" w:sz="6" w:space="0"/>
              <w:bottom w:val="single" w:color="auto" w:sz="4" w:space="0"/>
              <w:right w:val="single" w:color="auto" w:sz="4" w:space="0"/>
            </w:tcBorders>
          </w:tcPr>
          <w:p w14:paraId="4ABF4BBB">
            <w:pPr>
              <w:spacing w:line="360" w:lineRule="auto"/>
              <w:ind w:right="-5"/>
              <w:jc w:val="center"/>
              <w:rPr>
                <w:rFonts w:ascii="宋体" w:hAnsi="宋体" w:cs="宋体"/>
                <w:color w:val="auto"/>
                <w:szCs w:val="21"/>
                <w:highlight w:val="none"/>
              </w:rPr>
            </w:pPr>
          </w:p>
        </w:tc>
      </w:tr>
      <w:tr w14:paraId="7D01FA0B">
        <w:tblPrEx>
          <w:tblCellMar>
            <w:top w:w="0" w:type="dxa"/>
            <w:left w:w="108" w:type="dxa"/>
            <w:bottom w:w="0" w:type="dxa"/>
            <w:right w:w="108" w:type="dxa"/>
          </w:tblCellMar>
        </w:tblPrEx>
        <w:trPr>
          <w:cantSplit/>
          <w:trHeight w:val="655" w:hRule="atLeast"/>
          <w:jc w:val="center"/>
        </w:trPr>
        <w:tc>
          <w:tcPr>
            <w:tcW w:w="802" w:type="dxa"/>
            <w:tcBorders>
              <w:top w:val="single" w:color="auto" w:sz="4" w:space="0"/>
              <w:left w:val="single" w:color="auto" w:sz="4" w:space="0"/>
              <w:bottom w:val="single" w:color="auto" w:sz="4" w:space="0"/>
              <w:right w:val="single" w:color="auto" w:sz="6" w:space="0"/>
            </w:tcBorders>
          </w:tcPr>
          <w:p w14:paraId="0BC8F8C2">
            <w:pPr>
              <w:spacing w:line="360" w:lineRule="auto"/>
              <w:ind w:right="-5"/>
              <w:jc w:val="center"/>
              <w:rPr>
                <w:rFonts w:ascii="宋体" w:hAnsi="宋体" w:cs="宋体"/>
                <w:color w:val="auto"/>
                <w:szCs w:val="21"/>
                <w:highlight w:val="none"/>
              </w:rPr>
            </w:pPr>
          </w:p>
        </w:tc>
        <w:tc>
          <w:tcPr>
            <w:tcW w:w="6526" w:type="dxa"/>
            <w:gridSpan w:val="4"/>
            <w:tcBorders>
              <w:top w:val="single" w:color="auto" w:sz="4" w:space="0"/>
              <w:left w:val="single" w:color="auto" w:sz="4" w:space="0"/>
              <w:bottom w:val="single" w:color="auto" w:sz="4" w:space="0"/>
              <w:right w:val="single" w:color="auto" w:sz="6" w:space="0"/>
            </w:tcBorders>
            <w:vAlign w:val="center"/>
          </w:tcPr>
          <w:p w14:paraId="19672323">
            <w:pPr>
              <w:spacing w:line="360" w:lineRule="auto"/>
              <w:ind w:right="-5"/>
              <w:jc w:val="center"/>
              <w:rPr>
                <w:rFonts w:ascii="宋体" w:hAnsi="宋体" w:cs="宋体"/>
                <w:color w:val="auto"/>
                <w:szCs w:val="21"/>
                <w:highlight w:val="none"/>
              </w:rPr>
            </w:pPr>
            <w:r>
              <w:rPr>
                <w:rFonts w:hint="eastAsia" w:ascii="宋体" w:hAnsi="宋体" w:cs="宋体"/>
                <w:color w:val="auto"/>
                <w:szCs w:val="21"/>
                <w:highlight w:val="none"/>
              </w:rPr>
              <w:t>合 计</w:t>
            </w:r>
          </w:p>
        </w:tc>
        <w:tc>
          <w:tcPr>
            <w:tcW w:w="1288" w:type="dxa"/>
            <w:tcBorders>
              <w:top w:val="single" w:color="auto" w:sz="4" w:space="0"/>
              <w:left w:val="single" w:color="auto" w:sz="6" w:space="0"/>
              <w:bottom w:val="single" w:color="auto" w:sz="4" w:space="0"/>
              <w:right w:val="single" w:color="auto" w:sz="6" w:space="0"/>
            </w:tcBorders>
          </w:tcPr>
          <w:p w14:paraId="073C8172">
            <w:pPr>
              <w:spacing w:line="360" w:lineRule="auto"/>
              <w:ind w:right="-5"/>
              <w:jc w:val="center"/>
              <w:rPr>
                <w:rFonts w:ascii="宋体" w:hAnsi="宋体" w:cs="宋体"/>
                <w:color w:val="auto"/>
                <w:szCs w:val="21"/>
                <w:highlight w:val="none"/>
              </w:rPr>
            </w:pPr>
          </w:p>
        </w:tc>
        <w:tc>
          <w:tcPr>
            <w:tcW w:w="1027" w:type="dxa"/>
            <w:tcBorders>
              <w:top w:val="single" w:color="auto" w:sz="4" w:space="0"/>
              <w:left w:val="single" w:color="auto" w:sz="6" w:space="0"/>
              <w:bottom w:val="single" w:color="auto" w:sz="4" w:space="0"/>
              <w:right w:val="single" w:color="auto" w:sz="4" w:space="0"/>
            </w:tcBorders>
          </w:tcPr>
          <w:p w14:paraId="5A924A33">
            <w:pPr>
              <w:spacing w:line="360" w:lineRule="auto"/>
              <w:ind w:right="-5"/>
              <w:jc w:val="center"/>
              <w:rPr>
                <w:rFonts w:ascii="宋体" w:hAnsi="宋体" w:cs="宋体"/>
                <w:color w:val="auto"/>
                <w:szCs w:val="21"/>
                <w:highlight w:val="none"/>
              </w:rPr>
            </w:pPr>
          </w:p>
        </w:tc>
      </w:tr>
    </w:tbl>
    <w:p w14:paraId="08FB8ED2">
      <w:pPr>
        <w:spacing w:before="120" w:after="120" w:line="280" w:lineRule="exact"/>
        <w:jc w:val="left"/>
        <w:rPr>
          <w:rFonts w:ascii="宋体" w:hAnsi="宋体" w:cs="Angsana New"/>
          <w:color w:val="auto"/>
          <w:szCs w:val="21"/>
          <w:highlight w:val="none"/>
          <w:lang w:bidi="th-TH"/>
        </w:rPr>
      </w:pPr>
      <w:r>
        <w:rPr>
          <w:rFonts w:hint="eastAsia" w:ascii="宋体" w:hAnsi="宋体" w:cs="Angsana New"/>
          <w:color w:val="auto"/>
          <w:szCs w:val="21"/>
          <w:highlight w:val="none"/>
          <w:lang w:bidi="th-TH"/>
        </w:rPr>
        <w:t>（格式可自拟）</w:t>
      </w:r>
    </w:p>
    <w:p w14:paraId="4194AB5C">
      <w:pPr>
        <w:pStyle w:val="222"/>
        <w:spacing w:before="120" w:after="120" w:line="280" w:lineRule="exact"/>
        <w:jc w:val="left"/>
        <w:rPr>
          <w:rFonts w:hAnsi="宋体" w:cs="Angsana New"/>
          <w:color w:val="auto"/>
          <w:sz w:val="21"/>
          <w:szCs w:val="21"/>
          <w:highlight w:val="none"/>
          <w:lang w:bidi="th-TH"/>
        </w:rPr>
      </w:pPr>
    </w:p>
    <w:p w14:paraId="45E42C63">
      <w:pPr>
        <w:spacing w:line="500" w:lineRule="exact"/>
        <w:jc w:val="left"/>
        <w:rPr>
          <w:rFonts w:ascii="宋体" w:cs="FangSong_GB2312-Identity-H"/>
          <w:color w:val="auto"/>
          <w:sz w:val="24"/>
          <w:highlight w:val="none"/>
          <w:u w:val="single"/>
        </w:rPr>
      </w:pPr>
      <w:r>
        <w:rPr>
          <w:rFonts w:hint="eastAsia" w:ascii="宋体" w:hAnsi="宋体" w:cs="FangSong_GB2312-Identity-H"/>
          <w:color w:val="auto"/>
          <w:sz w:val="24"/>
          <w:highlight w:val="none"/>
        </w:rPr>
        <w:t>投标人</w:t>
      </w:r>
      <w:r>
        <w:rPr>
          <w:rFonts w:ascii="宋体" w:hAnsi="宋体" w:cs="FangSong_GB2312-Identity-H"/>
          <w:color w:val="auto"/>
          <w:sz w:val="24"/>
          <w:highlight w:val="none"/>
        </w:rPr>
        <w:t>(</w:t>
      </w:r>
      <w:r>
        <w:rPr>
          <w:rFonts w:hint="eastAsia" w:ascii="宋体" w:hAnsi="宋体" w:cs="FangSong_GB2312-Identity-H"/>
          <w:color w:val="auto"/>
          <w:sz w:val="24"/>
          <w:highlight w:val="none"/>
        </w:rPr>
        <w:t>公章</w:t>
      </w:r>
      <w:r>
        <w:rPr>
          <w:rFonts w:ascii="宋体" w:hAnsi="宋体" w:cs="FangSong_GB2312-Identity-H"/>
          <w:color w:val="auto"/>
          <w:sz w:val="24"/>
          <w:highlight w:val="none"/>
        </w:rPr>
        <w:t xml:space="preserve">) </w:t>
      </w:r>
      <w:r>
        <w:rPr>
          <w:rFonts w:hint="eastAsia" w:ascii="宋体" w:hAnsi="宋体" w:cs="FangSong_GB2312-Identity-H"/>
          <w:color w:val="auto"/>
          <w:sz w:val="24"/>
          <w:highlight w:val="none"/>
        </w:rPr>
        <w:t>：</w:t>
      </w:r>
      <w:r>
        <w:rPr>
          <w:rFonts w:ascii="宋体" w:hAnsi="宋体" w:cs="FangSong_GB2312-Identity-H"/>
          <w:color w:val="auto"/>
          <w:sz w:val="24"/>
          <w:highlight w:val="none"/>
          <w:u w:val="single"/>
        </w:rPr>
        <w:t xml:space="preserve">                          </w:t>
      </w:r>
    </w:p>
    <w:p w14:paraId="3D69F11D">
      <w:pPr>
        <w:spacing w:line="500" w:lineRule="exact"/>
        <w:jc w:val="left"/>
        <w:rPr>
          <w:rFonts w:ascii="宋体" w:cs="FangSong_GB2312-Identity-H"/>
          <w:color w:val="auto"/>
          <w:sz w:val="24"/>
          <w:highlight w:val="none"/>
          <w:u w:val="single"/>
        </w:rPr>
      </w:pPr>
      <w:r>
        <w:rPr>
          <w:rFonts w:hint="eastAsia" w:ascii="宋体" w:hAnsi="宋体" w:cs="FangSong_GB2312-Identity-H"/>
          <w:color w:val="auto"/>
          <w:sz w:val="24"/>
          <w:highlight w:val="none"/>
        </w:rPr>
        <w:t>法定代表人或授权委托人（签字或盖章）：</w:t>
      </w:r>
      <w:r>
        <w:rPr>
          <w:rFonts w:ascii="宋体" w:hAnsi="宋体" w:cs="FangSong_GB2312-Identity-H"/>
          <w:color w:val="auto"/>
          <w:sz w:val="24"/>
          <w:highlight w:val="none"/>
          <w:u w:val="single"/>
        </w:rPr>
        <w:t xml:space="preserve">                       </w:t>
      </w:r>
    </w:p>
    <w:p w14:paraId="06EC0D5E">
      <w:pPr>
        <w:pStyle w:val="222"/>
        <w:spacing w:before="120" w:after="120" w:line="280" w:lineRule="exact"/>
        <w:jc w:val="left"/>
        <w:rPr>
          <w:rFonts w:hAnsi="宋体" w:cs="Angsana New"/>
          <w:color w:val="auto"/>
          <w:sz w:val="21"/>
          <w:szCs w:val="21"/>
          <w:highlight w:val="none"/>
          <w:u w:val="single"/>
          <w:lang w:bidi="th-TH"/>
        </w:rPr>
      </w:pPr>
      <w:r>
        <w:rPr>
          <w:rFonts w:hint="eastAsia" w:hAnsi="宋体" w:cs="FangSong_GB2312-Identity-H"/>
          <w:color w:val="auto"/>
          <w:sz w:val="24"/>
          <w:highlight w:val="none"/>
        </w:rPr>
        <w:t>日期：</w:t>
      </w:r>
      <w:r>
        <w:rPr>
          <w:rFonts w:hAnsi="宋体" w:cs="FangSong_GB2312-Identity-H"/>
          <w:color w:val="auto"/>
          <w:sz w:val="24"/>
          <w:highlight w:val="none"/>
        </w:rPr>
        <w:t xml:space="preserve"> </w:t>
      </w:r>
      <w:r>
        <w:rPr>
          <w:rFonts w:hAnsi="宋体" w:cs="FangSong_GB2312-Identity-H"/>
          <w:color w:val="auto"/>
          <w:sz w:val="24"/>
          <w:highlight w:val="none"/>
          <w:u w:val="single"/>
        </w:rPr>
        <w:t xml:space="preserve">         </w:t>
      </w:r>
      <w:r>
        <w:rPr>
          <w:rFonts w:hint="eastAsia" w:hAnsi="宋体" w:cs="FangSong_GB2312-Identity-H"/>
          <w:color w:val="auto"/>
          <w:sz w:val="24"/>
          <w:highlight w:val="none"/>
        </w:rPr>
        <w:t>年</w:t>
      </w:r>
      <w:r>
        <w:rPr>
          <w:rFonts w:hAnsi="宋体" w:cs="FangSong_GB2312-Identity-H"/>
          <w:color w:val="auto"/>
          <w:sz w:val="24"/>
          <w:highlight w:val="none"/>
          <w:u w:val="single"/>
        </w:rPr>
        <w:t xml:space="preserve">        </w:t>
      </w:r>
      <w:r>
        <w:rPr>
          <w:rFonts w:hint="eastAsia" w:hAnsi="宋体" w:cs="FangSong_GB2312-Identity-H"/>
          <w:color w:val="auto"/>
          <w:sz w:val="24"/>
          <w:highlight w:val="none"/>
        </w:rPr>
        <w:t>月</w:t>
      </w:r>
      <w:r>
        <w:rPr>
          <w:rFonts w:hAnsi="宋体" w:cs="FangSong_GB2312-Identity-H"/>
          <w:color w:val="auto"/>
          <w:sz w:val="24"/>
          <w:highlight w:val="none"/>
          <w:u w:val="single"/>
        </w:rPr>
        <w:t xml:space="preserve">         </w:t>
      </w:r>
      <w:r>
        <w:rPr>
          <w:rFonts w:hint="eastAsia" w:hAnsi="宋体" w:cs="FangSong_GB2312-Identity-H"/>
          <w:color w:val="auto"/>
          <w:sz w:val="24"/>
          <w:highlight w:val="none"/>
        </w:rPr>
        <w:t>日</w:t>
      </w:r>
    </w:p>
    <w:p w14:paraId="55577A8C">
      <w:pPr>
        <w:pStyle w:val="222"/>
        <w:spacing w:before="120" w:after="120" w:line="280" w:lineRule="exact"/>
        <w:jc w:val="left"/>
        <w:rPr>
          <w:rFonts w:hAnsi="宋体" w:cs="Angsana New"/>
          <w:color w:val="auto"/>
          <w:sz w:val="21"/>
          <w:szCs w:val="21"/>
          <w:highlight w:val="none"/>
          <w:lang w:bidi="th-TH"/>
        </w:rPr>
        <w:sectPr>
          <w:headerReference r:id="rId5" w:type="default"/>
          <w:footerReference r:id="rId6" w:type="default"/>
          <w:footerReference r:id="rId7" w:type="even"/>
          <w:pgSz w:w="11906" w:h="16838"/>
          <w:pgMar w:top="1191" w:right="1020" w:bottom="1191" w:left="1020" w:header="851" w:footer="992" w:gutter="0"/>
          <w:cols w:space="1701" w:num="1"/>
          <w:docGrid w:linePitch="360" w:charSpace="0"/>
        </w:sectPr>
      </w:pPr>
    </w:p>
    <w:p w14:paraId="6C975D52">
      <w:pPr>
        <w:spacing w:line="500" w:lineRule="exact"/>
        <w:rPr>
          <w:rFonts w:ascii="宋体" w:cs="FangSong_GB2312-Identity-H"/>
          <w:color w:val="auto"/>
          <w:sz w:val="24"/>
          <w:highlight w:val="none"/>
        </w:rPr>
      </w:pPr>
    </w:p>
    <w:p w14:paraId="6869DB65">
      <w:pPr>
        <w:spacing w:line="600" w:lineRule="exact"/>
        <w:jc w:val="center"/>
        <w:rPr>
          <w:rFonts w:ascii="宋体" w:cs="FangSong_GB2312-Identity-H"/>
          <w:b/>
          <w:bCs/>
          <w:color w:val="auto"/>
          <w:sz w:val="44"/>
          <w:szCs w:val="44"/>
          <w:highlight w:val="none"/>
        </w:rPr>
      </w:pPr>
      <w:r>
        <w:rPr>
          <w:rFonts w:hint="eastAsia" w:ascii="宋体" w:hAnsi="宋体" w:cs="FangSong_GB2312-Identity-H"/>
          <w:b/>
          <w:bCs/>
          <w:color w:val="auto"/>
          <w:sz w:val="36"/>
          <w:szCs w:val="36"/>
          <w:highlight w:val="none"/>
        </w:rPr>
        <w:t>技术条款响应表</w:t>
      </w:r>
    </w:p>
    <w:p w14:paraId="4A93A345">
      <w:pPr>
        <w:spacing w:line="360" w:lineRule="exact"/>
        <w:jc w:val="left"/>
        <w:rPr>
          <w:rFonts w:ascii="宋体" w:cs="SimSun-Identity-H"/>
          <w:color w:val="auto"/>
          <w:sz w:val="24"/>
          <w:highlight w:val="none"/>
        </w:rPr>
      </w:pPr>
    </w:p>
    <w:tbl>
      <w:tblPr>
        <w:tblStyle w:val="32"/>
        <w:tblW w:w="5032" w:type="pct"/>
        <w:jc w:val="center"/>
        <w:tblLayout w:type="autofit"/>
        <w:tblCellMar>
          <w:top w:w="0" w:type="dxa"/>
          <w:left w:w="0" w:type="dxa"/>
          <w:bottom w:w="0" w:type="dxa"/>
          <w:right w:w="0" w:type="dxa"/>
        </w:tblCellMar>
      </w:tblPr>
      <w:tblGrid>
        <w:gridCol w:w="1454"/>
        <w:gridCol w:w="2536"/>
        <w:gridCol w:w="1430"/>
        <w:gridCol w:w="2413"/>
        <w:gridCol w:w="1877"/>
      </w:tblGrid>
      <w:tr w14:paraId="50F78277">
        <w:tblPrEx>
          <w:tblCellMar>
            <w:top w:w="0" w:type="dxa"/>
            <w:left w:w="0" w:type="dxa"/>
            <w:bottom w:w="0" w:type="dxa"/>
            <w:right w:w="0" w:type="dxa"/>
          </w:tblCellMar>
        </w:tblPrEx>
        <w:trPr>
          <w:trHeight w:val="714" w:hRule="exact"/>
          <w:jc w:val="center"/>
        </w:trPr>
        <w:tc>
          <w:tcPr>
            <w:tcW w:w="1454" w:type="dxa"/>
            <w:tcBorders>
              <w:top w:val="single" w:color="000000" w:sz="4" w:space="0"/>
              <w:left w:val="single" w:color="000000" w:sz="4" w:space="0"/>
              <w:bottom w:val="nil"/>
              <w:right w:val="nil"/>
            </w:tcBorders>
            <w:shd w:val="clear" w:color="auto" w:fill="FFFFFF"/>
            <w:vAlign w:val="center"/>
          </w:tcPr>
          <w:p w14:paraId="026AF3E6">
            <w:pPr>
              <w:jc w:val="center"/>
              <w:rPr>
                <w:rFonts w:ascii="宋体"/>
                <w:color w:val="auto"/>
                <w:szCs w:val="21"/>
                <w:highlight w:val="none"/>
              </w:rPr>
            </w:pPr>
            <w:r>
              <w:rPr>
                <w:rFonts w:hint="eastAsia" w:ascii="宋体" w:hAnsi="宋体"/>
                <w:color w:val="auto"/>
                <w:szCs w:val="21"/>
                <w:highlight w:val="none"/>
              </w:rPr>
              <w:t>序号</w:t>
            </w:r>
          </w:p>
        </w:tc>
        <w:tc>
          <w:tcPr>
            <w:tcW w:w="2536" w:type="dxa"/>
            <w:tcBorders>
              <w:top w:val="single" w:color="000000" w:sz="4" w:space="0"/>
              <w:left w:val="single" w:color="000000" w:sz="4" w:space="0"/>
              <w:bottom w:val="nil"/>
              <w:right w:val="nil"/>
            </w:tcBorders>
            <w:shd w:val="clear" w:color="auto" w:fill="FFFFFF"/>
            <w:vAlign w:val="center"/>
          </w:tcPr>
          <w:p w14:paraId="6452C425">
            <w:pPr>
              <w:jc w:val="center"/>
              <w:rPr>
                <w:rFonts w:ascii="宋体"/>
                <w:color w:val="auto"/>
                <w:szCs w:val="21"/>
                <w:highlight w:val="none"/>
              </w:rPr>
            </w:pPr>
            <w:r>
              <w:rPr>
                <w:rFonts w:hint="eastAsia" w:ascii="宋体" w:hAnsi="宋体"/>
                <w:color w:val="auto"/>
                <w:szCs w:val="21"/>
                <w:highlight w:val="none"/>
              </w:rPr>
              <w:t>名称</w:t>
            </w:r>
          </w:p>
        </w:tc>
        <w:tc>
          <w:tcPr>
            <w:tcW w:w="1430" w:type="dxa"/>
            <w:tcBorders>
              <w:top w:val="single" w:color="000000" w:sz="4" w:space="0"/>
              <w:left w:val="single" w:color="000000" w:sz="4" w:space="0"/>
              <w:bottom w:val="nil"/>
              <w:right w:val="nil"/>
            </w:tcBorders>
            <w:shd w:val="clear" w:color="auto" w:fill="FFFFFF"/>
            <w:vAlign w:val="center"/>
          </w:tcPr>
          <w:p w14:paraId="67F2DD86">
            <w:pPr>
              <w:jc w:val="center"/>
              <w:rPr>
                <w:rFonts w:ascii="宋体"/>
                <w:color w:val="auto"/>
                <w:szCs w:val="21"/>
                <w:highlight w:val="none"/>
              </w:rPr>
            </w:pPr>
            <w:r>
              <w:rPr>
                <w:rFonts w:hint="eastAsia" w:ascii="宋体" w:hAnsi="宋体"/>
                <w:color w:val="auto"/>
                <w:szCs w:val="21"/>
                <w:highlight w:val="none"/>
              </w:rPr>
              <w:t>招标要求</w:t>
            </w:r>
          </w:p>
        </w:tc>
        <w:tc>
          <w:tcPr>
            <w:tcW w:w="2413" w:type="dxa"/>
            <w:tcBorders>
              <w:top w:val="single" w:color="000000" w:sz="4" w:space="0"/>
              <w:left w:val="single" w:color="000000" w:sz="4" w:space="0"/>
              <w:bottom w:val="nil"/>
              <w:right w:val="single" w:color="000000" w:sz="4" w:space="0"/>
            </w:tcBorders>
            <w:shd w:val="clear" w:color="auto" w:fill="FFFFFF"/>
            <w:vAlign w:val="center"/>
          </w:tcPr>
          <w:p w14:paraId="2737140D">
            <w:pPr>
              <w:jc w:val="center"/>
              <w:rPr>
                <w:rFonts w:ascii="宋体"/>
                <w:color w:val="auto"/>
                <w:szCs w:val="21"/>
                <w:highlight w:val="none"/>
              </w:rPr>
            </w:pPr>
            <w:r>
              <w:rPr>
                <w:rFonts w:hint="eastAsia" w:ascii="宋体" w:hAnsi="宋体"/>
                <w:color w:val="auto"/>
                <w:szCs w:val="21"/>
                <w:highlight w:val="none"/>
              </w:rPr>
              <w:t>投标响应</w:t>
            </w:r>
          </w:p>
        </w:tc>
        <w:tc>
          <w:tcPr>
            <w:tcW w:w="1877" w:type="dxa"/>
            <w:tcBorders>
              <w:top w:val="single" w:color="000000" w:sz="4" w:space="0"/>
              <w:left w:val="single" w:color="000000" w:sz="4" w:space="0"/>
              <w:bottom w:val="nil"/>
              <w:right w:val="single" w:color="000000" w:sz="4" w:space="0"/>
            </w:tcBorders>
            <w:shd w:val="clear" w:color="auto" w:fill="FFFFFF"/>
            <w:vAlign w:val="center"/>
          </w:tcPr>
          <w:p w14:paraId="71B0DA43">
            <w:pPr>
              <w:jc w:val="center"/>
              <w:rPr>
                <w:rFonts w:ascii="宋体"/>
                <w:color w:val="auto"/>
                <w:szCs w:val="21"/>
                <w:highlight w:val="none"/>
              </w:rPr>
            </w:pPr>
            <w:r>
              <w:rPr>
                <w:rFonts w:hint="eastAsia" w:ascii="宋体"/>
                <w:color w:val="auto"/>
                <w:szCs w:val="21"/>
                <w:highlight w:val="none"/>
              </w:rPr>
              <w:t>备注</w:t>
            </w:r>
          </w:p>
        </w:tc>
      </w:tr>
      <w:tr w14:paraId="15381AEF">
        <w:tblPrEx>
          <w:tblCellMar>
            <w:top w:w="0" w:type="dxa"/>
            <w:left w:w="0" w:type="dxa"/>
            <w:bottom w:w="0" w:type="dxa"/>
            <w:right w:w="0" w:type="dxa"/>
          </w:tblCellMar>
        </w:tblPrEx>
        <w:trPr>
          <w:trHeight w:val="449" w:hRule="exact"/>
          <w:jc w:val="center"/>
        </w:trPr>
        <w:tc>
          <w:tcPr>
            <w:tcW w:w="1454" w:type="dxa"/>
            <w:tcBorders>
              <w:top w:val="single" w:color="000000" w:sz="4" w:space="0"/>
              <w:left w:val="single" w:color="000000" w:sz="4" w:space="0"/>
              <w:bottom w:val="nil"/>
              <w:right w:val="nil"/>
            </w:tcBorders>
            <w:shd w:val="clear" w:color="auto" w:fill="FFFFFF"/>
            <w:vAlign w:val="center"/>
          </w:tcPr>
          <w:p w14:paraId="355E7442">
            <w:pPr>
              <w:jc w:val="center"/>
              <w:rPr>
                <w:rFonts w:ascii="宋体"/>
                <w:color w:val="auto"/>
                <w:szCs w:val="21"/>
                <w:highlight w:val="none"/>
              </w:rPr>
            </w:pPr>
            <w:r>
              <w:rPr>
                <w:rFonts w:ascii="宋体" w:hAnsi="宋体"/>
                <w:color w:val="auto"/>
                <w:szCs w:val="21"/>
                <w:highlight w:val="none"/>
              </w:rPr>
              <w:t>1</w:t>
            </w:r>
          </w:p>
        </w:tc>
        <w:tc>
          <w:tcPr>
            <w:tcW w:w="2536" w:type="dxa"/>
            <w:tcBorders>
              <w:top w:val="single" w:color="000000" w:sz="4" w:space="0"/>
              <w:left w:val="single" w:color="000000" w:sz="4" w:space="0"/>
              <w:bottom w:val="nil"/>
              <w:right w:val="nil"/>
            </w:tcBorders>
            <w:shd w:val="clear" w:color="auto" w:fill="FFFFFF"/>
            <w:vAlign w:val="center"/>
          </w:tcPr>
          <w:p w14:paraId="252A9247">
            <w:pPr>
              <w:jc w:val="center"/>
              <w:rPr>
                <w:rFonts w:ascii="宋体"/>
                <w:color w:val="auto"/>
                <w:szCs w:val="21"/>
                <w:highlight w:val="none"/>
              </w:rPr>
            </w:pPr>
          </w:p>
        </w:tc>
        <w:tc>
          <w:tcPr>
            <w:tcW w:w="1430" w:type="dxa"/>
            <w:tcBorders>
              <w:top w:val="single" w:color="000000" w:sz="4" w:space="0"/>
              <w:left w:val="single" w:color="000000" w:sz="4" w:space="0"/>
              <w:bottom w:val="nil"/>
              <w:right w:val="nil"/>
            </w:tcBorders>
            <w:shd w:val="clear" w:color="auto" w:fill="FFFFFF"/>
            <w:vAlign w:val="center"/>
          </w:tcPr>
          <w:p w14:paraId="573F2B04">
            <w:pPr>
              <w:jc w:val="center"/>
              <w:rPr>
                <w:rFonts w:ascii="宋体"/>
                <w:color w:val="auto"/>
                <w:szCs w:val="21"/>
                <w:highlight w:val="none"/>
              </w:rPr>
            </w:pPr>
          </w:p>
        </w:tc>
        <w:tc>
          <w:tcPr>
            <w:tcW w:w="2413" w:type="dxa"/>
            <w:tcBorders>
              <w:top w:val="single" w:color="000000" w:sz="4" w:space="0"/>
              <w:left w:val="single" w:color="000000" w:sz="4" w:space="0"/>
              <w:bottom w:val="nil"/>
              <w:right w:val="single" w:color="000000" w:sz="4" w:space="0"/>
            </w:tcBorders>
            <w:shd w:val="clear" w:color="auto" w:fill="FFFFFF"/>
            <w:vAlign w:val="center"/>
          </w:tcPr>
          <w:p w14:paraId="074E0497">
            <w:pPr>
              <w:jc w:val="center"/>
              <w:rPr>
                <w:rFonts w:ascii="宋体"/>
                <w:color w:val="auto"/>
                <w:szCs w:val="21"/>
                <w:highlight w:val="none"/>
              </w:rPr>
            </w:pPr>
          </w:p>
        </w:tc>
        <w:tc>
          <w:tcPr>
            <w:tcW w:w="1877" w:type="dxa"/>
            <w:tcBorders>
              <w:top w:val="single" w:color="000000" w:sz="4" w:space="0"/>
              <w:left w:val="single" w:color="000000" w:sz="4" w:space="0"/>
              <w:bottom w:val="nil"/>
              <w:right w:val="single" w:color="000000" w:sz="4" w:space="0"/>
            </w:tcBorders>
            <w:shd w:val="clear" w:color="auto" w:fill="FFFFFF"/>
            <w:vAlign w:val="center"/>
          </w:tcPr>
          <w:p w14:paraId="417C70E6">
            <w:pPr>
              <w:jc w:val="center"/>
              <w:rPr>
                <w:rFonts w:ascii="宋体"/>
                <w:color w:val="auto"/>
                <w:szCs w:val="21"/>
                <w:highlight w:val="none"/>
              </w:rPr>
            </w:pPr>
          </w:p>
        </w:tc>
      </w:tr>
      <w:tr w14:paraId="0CA13EF5">
        <w:tblPrEx>
          <w:tblCellMar>
            <w:top w:w="0" w:type="dxa"/>
            <w:left w:w="0" w:type="dxa"/>
            <w:bottom w:w="0" w:type="dxa"/>
            <w:right w:w="0" w:type="dxa"/>
          </w:tblCellMar>
        </w:tblPrEx>
        <w:trPr>
          <w:trHeight w:val="442" w:hRule="exact"/>
          <w:jc w:val="center"/>
        </w:trPr>
        <w:tc>
          <w:tcPr>
            <w:tcW w:w="1454" w:type="dxa"/>
            <w:tcBorders>
              <w:top w:val="single" w:color="000000" w:sz="4" w:space="0"/>
              <w:left w:val="single" w:color="000000" w:sz="4" w:space="0"/>
              <w:bottom w:val="single" w:color="000000" w:sz="4" w:space="0"/>
              <w:right w:val="nil"/>
            </w:tcBorders>
            <w:shd w:val="clear" w:color="auto" w:fill="FFFFFF"/>
            <w:vAlign w:val="center"/>
          </w:tcPr>
          <w:p w14:paraId="08E82910">
            <w:pPr>
              <w:jc w:val="center"/>
              <w:rPr>
                <w:rFonts w:ascii="宋体"/>
                <w:color w:val="auto"/>
                <w:szCs w:val="21"/>
                <w:highlight w:val="none"/>
              </w:rPr>
            </w:pPr>
            <w:r>
              <w:rPr>
                <w:rFonts w:ascii="宋体" w:hAnsi="宋体"/>
                <w:color w:val="auto"/>
                <w:szCs w:val="21"/>
                <w:highlight w:val="none"/>
              </w:rPr>
              <w:t>2</w:t>
            </w:r>
          </w:p>
        </w:tc>
        <w:tc>
          <w:tcPr>
            <w:tcW w:w="2536" w:type="dxa"/>
            <w:tcBorders>
              <w:top w:val="single" w:color="000000" w:sz="4" w:space="0"/>
              <w:left w:val="single" w:color="000000" w:sz="4" w:space="0"/>
              <w:bottom w:val="single" w:color="000000" w:sz="4" w:space="0"/>
              <w:right w:val="nil"/>
            </w:tcBorders>
            <w:shd w:val="clear" w:color="auto" w:fill="FFFFFF"/>
            <w:vAlign w:val="center"/>
          </w:tcPr>
          <w:p w14:paraId="3F1E564B">
            <w:pPr>
              <w:jc w:val="center"/>
              <w:rPr>
                <w:rFonts w:ascii="宋体"/>
                <w:color w:val="auto"/>
                <w:szCs w:val="21"/>
                <w:highlight w:val="none"/>
              </w:rPr>
            </w:pPr>
          </w:p>
        </w:tc>
        <w:tc>
          <w:tcPr>
            <w:tcW w:w="1430" w:type="dxa"/>
            <w:tcBorders>
              <w:top w:val="single" w:color="000000" w:sz="4" w:space="0"/>
              <w:left w:val="single" w:color="000000" w:sz="4" w:space="0"/>
              <w:bottom w:val="single" w:color="000000" w:sz="4" w:space="0"/>
              <w:right w:val="nil"/>
            </w:tcBorders>
            <w:shd w:val="clear" w:color="auto" w:fill="FFFFFF"/>
            <w:vAlign w:val="center"/>
          </w:tcPr>
          <w:p w14:paraId="60E2EABC">
            <w:pPr>
              <w:jc w:val="center"/>
              <w:rPr>
                <w:rFonts w:ascii="宋体"/>
                <w:color w:val="auto"/>
                <w:szCs w:val="21"/>
                <w:highlight w:val="none"/>
              </w:rPr>
            </w:pPr>
          </w:p>
        </w:tc>
        <w:tc>
          <w:tcPr>
            <w:tcW w:w="241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7E48086">
            <w:pPr>
              <w:jc w:val="center"/>
              <w:rPr>
                <w:rFonts w:ascii="宋体"/>
                <w:color w:val="auto"/>
                <w:szCs w:val="21"/>
                <w:highlight w:val="none"/>
              </w:rPr>
            </w:pPr>
          </w:p>
        </w:tc>
        <w:tc>
          <w:tcPr>
            <w:tcW w:w="187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FCBDD13">
            <w:pPr>
              <w:jc w:val="center"/>
              <w:rPr>
                <w:rFonts w:ascii="宋体"/>
                <w:color w:val="auto"/>
                <w:szCs w:val="21"/>
                <w:highlight w:val="none"/>
              </w:rPr>
            </w:pPr>
          </w:p>
        </w:tc>
      </w:tr>
      <w:tr w14:paraId="166082B7">
        <w:tblPrEx>
          <w:tblCellMar>
            <w:top w:w="0" w:type="dxa"/>
            <w:left w:w="0" w:type="dxa"/>
            <w:bottom w:w="0" w:type="dxa"/>
            <w:right w:w="0" w:type="dxa"/>
          </w:tblCellMar>
        </w:tblPrEx>
        <w:trPr>
          <w:trHeight w:val="442" w:hRule="exact"/>
          <w:jc w:val="center"/>
        </w:trPr>
        <w:tc>
          <w:tcPr>
            <w:tcW w:w="1454" w:type="dxa"/>
            <w:tcBorders>
              <w:top w:val="single" w:color="000000" w:sz="4" w:space="0"/>
              <w:left w:val="single" w:color="000000" w:sz="4" w:space="0"/>
              <w:bottom w:val="single" w:color="000000" w:sz="4" w:space="0"/>
              <w:right w:val="nil"/>
            </w:tcBorders>
            <w:shd w:val="clear" w:color="auto" w:fill="FFFFFF"/>
            <w:vAlign w:val="center"/>
          </w:tcPr>
          <w:p w14:paraId="3ADAA0CD">
            <w:pPr>
              <w:jc w:val="center"/>
              <w:rPr>
                <w:rFonts w:ascii="宋体"/>
                <w:color w:val="auto"/>
                <w:szCs w:val="21"/>
                <w:highlight w:val="none"/>
              </w:rPr>
            </w:pPr>
            <w:r>
              <w:rPr>
                <w:rFonts w:ascii="宋体" w:hAnsi="宋体"/>
                <w:color w:val="auto"/>
                <w:szCs w:val="21"/>
                <w:highlight w:val="none"/>
              </w:rPr>
              <w:t>3</w:t>
            </w:r>
          </w:p>
        </w:tc>
        <w:tc>
          <w:tcPr>
            <w:tcW w:w="2536" w:type="dxa"/>
            <w:tcBorders>
              <w:top w:val="single" w:color="000000" w:sz="4" w:space="0"/>
              <w:left w:val="single" w:color="000000" w:sz="4" w:space="0"/>
              <w:bottom w:val="single" w:color="000000" w:sz="4" w:space="0"/>
              <w:right w:val="nil"/>
            </w:tcBorders>
            <w:shd w:val="clear" w:color="auto" w:fill="FFFFFF"/>
            <w:vAlign w:val="center"/>
          </w:tcPr>
          <w:p w14:paraId="62DBC41D">
            <w:pPr>
              <w:jc w:val="center"/>
              <w:rPr>
                <w:rFonts w:ascii="宋体"/>
                <w:color w:val="auto"/>
                <w:szCs w:val="21"/>
                <w:highlight w:val="none"/>
              </w:rPr>
            </w:pPr>
          </w:p>
        </w:tc>
        <w:tc>
          <w:tcPr>
            <w:tcW w:w="1430" w:type="dxa"/>
            <w:tcBorders>
              <w:top w:val="single" w:color="000000" w:sz="4" w:space="0"/>
              <w:left w:val="single" w:color="000000" w:sz="4" w:space="0"/>
              <w:bottom w:val="single" w:color="000000" w:sz="4" w:space="0"/>
              <w:right w:val="nil"/>
            </w:tcBorders>
            <w:shd w:val="clear" w:color="auto" w:fill="FFFFFF"/>
            <w:vAlign w:val="center"/>
          </w:tcPr>
          <w:p w14:paraId="358E86B9">
            <w:pPr>
              <w:jc w:val="center"/>
              <w:rPr>
                <w:rFonts w:ascii="宋体"/>
                <w:color w:val="auto"/>
                <w:szCs w:val="21"/>
                <w:highlight w:val="none"/>
              </w:rPr>
            </w:pPr>
          </w:p>
        </w:tc>
        <w:tc>
          <w:tcPr>
            <w:tcW w:w="241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585A36C">
            <w:pPr>
              <w:jc w:val="center"/>
              <w:rPr>
                <w:rFonts w:ascii="宋体"/>
                <w:color w:val="auto"/>
                <w:szCs w:val="21"/>
                <w:highlight w:val="none"/>
              </w:rPr>
            </w:pPr>
          </w:p>
        </w:tc>
        <w:tc>
          <w:tcPr>
            <w:tcW w:w="187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7952A81">
            <w:pPr>
              <w:jc w:val="center"/>
              <w:rPr>
                <w:rFonts w:ascii="宋体"/>
                <w:color w:val="auto"/>
                <w:szCs w:val="21"/>
                <w:highlight w:val="none"/>
              </w:rPr>
            </w:pPr>
          </w:p>
        </w:tc>
      </w:tr>
      <w:tr w14:paraId="0D3A846B">
        <w:tblPrEx>
          <w:tblCellMar>
            <w:top w:w="0" w:type="dxa"/>
            <w:left w:w="0" w:type="dxa"/>
            <w:bottom w:w="0" w:type="dxa"/>
            <w:right w:w="0" w:type="dxa"/>
          </w:tblCellMar>
        </w:tblPrEx>
        <w:trPr>
          <w:trHeight w:val="442" w:hRule="exact"/>
          <w:jc w:val="center"/>
        </w:trPr>
        <w:tc>
          <w:tcPr>
            <w:tcW w:w="1454" w:type="dxa"/>
            <w:tcBorders>
              <w:top w:val="single" w:color="000000" w:sz="4" w:space="0"/>
              <w:left w:val="single" w:color="000000" w:sz="4" w:space="0"/>
              <w:bottom w:val="single" w:color="000000" w:sz="4" w:space="0"/>
              <w:right w:val="nil"/>
            </w:tcBorders>
            <w:shd w:val="clear" w:color="auto" w:fill="FFFFFF"/>
            <w:vAlign w:val="center"/>
          </w:tcPr>
          <w:p w14:paraId="6675B8B1">
            <w:pPr>
              <w:jc w:val="center"/>
              <w:rPr>
                <w:rFonts w:ascii="宋体"/>
                <w:color w:val="auto"/>
                <w:sz w:val="24"/>
                <w:highlight w:val="none"/>
              </w:rPr>
            </w:pPr>
            <w:r>
              <w:rPr>
                <w:rFonts w:hint="eastAsia" w:ascii="宋体" w:hAnsi="宋体" w:cs="宋体"/>
                <w:color w:val="auto"/>
                <w:szCs w:val="21"/>
                <w:highlight w:val="none"/>
                <w:lang w:bidi="th-TH"/>
              </w:rPr>
              <w:t>……</w:t>
            </w:r>
          </w:p>
        </w:tc>
        <w:tc>
          <w:tcPr>
            <w:tcW w:w="2536" w:type="dxa"/>
            <w:tcBorders>
              <w:top w:val="single" w:color="000000" w:sz="4" w:space="0"/>
              <w:left w:val="single" w:color="000000" w:sz="4" w:space="0"/>
              <w:bottom w:val="single" w:color="000000" w:sz="4" w:space="0"/>
              <w:right w:val="nil"/>
            </w:tcBorders>
            <w:shd w:val="clear" w:color="auto" w:fill="FFFFFF"/>
            <w:vAlign w:val="center"/>
          </w:tcPr>
          <w:p w14:paraId="4910E332">
            <w:pPr>
              <w:jc w:val="center"/>
              <w:rPr>
                <w:rFonts w:ascii="宋体"/>
                <w:color w:val="auto"/>
                <w:sz w:val="24"/>
                <w:highlight w:val="none"/>
              </w:rPr>
            </w:pPr>
          </w:p>
        </w:tc>
        <w:tc>
          <w:tcPr>
            <w:tcW w:w="1430" w:type="dxa"/>
            <w:tcBorders>
              <w:top w:val="single" w:color="000000" w:sz="4" w:space="0"/>
              <w:left w:val="single" w:color="000000" w:sz="4" w:space="0"/>
              <w:bottom w:val="single" w:color="000000" w:sz="4" w:space="0"/>
              <w:right w:val="nil"/>
            </w:tcBorders>
            <w:shd w:val="clear" w:color="auto" w:fill="FFFFFF"/>
            <w:vAlign w:val="center"/>
          </w:tcPr>
          <w:p w14:paraId="258B97F4">
            <w:pPr>
              <w:jc w:val="center"/>
              <w:rPr>
                <w:rFonts w:ascii="宋体"/>
                <w:color w:val="auto"/>
                <w:sz w:val="24"/>
                <w:highlight w:val="none"/>
              </w:rPr>
            </w:pPr>
          </w:p>
        </w:tc>
        <w:tc>
          <w:tcPr>
            <w:tcW w:w="241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D288F98">
            <w:pPr>
              <w:jc w:val="center"/>
              <w:rPr>
                <w:rFonts w:ascii="宋体"/>
                <w:color w:val="auto"/>
                <w:sz w:val="24"/>
                <w:highlight w:val="none"/>
              </w:rPr>
            </w:pPr>
          </w:p>
        </w:tc>
        <w:tc>
          <w:tcPr>
            <w:tcW w:w="187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97D2D33">
            <w:pPr>
              <w:jc w:val="center"/>
              <w:rPr>
                <w:rFonts w:ascii="宋体"/>
                <w:color w:val="auto"/>
                <w:sz w:val="24"/>
                <w:highlight w:val="none"/>
              </w:rPr>
            </w:pPr>
          </w:p>
        </w:tc>
      </w:tr>
    </w:tbl>
    <w:p w14:paraId="310428E0">
      <w:pPr>
        <w:autoSpaceDE w:val="0"/>
        <w:autoSpaceDN w:val="0"/>
        <w:adjustRightInd w:val="0"/>
        <w:spacing w:line="700" w:lineRule="exact"/>
        <w:ind w:firstLine="480" w:firstLineChars="200"/>
        <w:rPr>
          <w:rFonts w:ascii="宋体" w:hAnsi="宋体" w:cs="FangSong_GB2312-Identity-H"/>
          <w:bCs/>
          <w:color w:val="auto"/>
          <w:sz w:val="24"/>
          <w:highlight w:val="none"/>
        </w:rPr>
      </w:pPr>
      <w:r>
        <w:rPr>
          <w:rFonts w:hint="eastAsia" w:ascii="宋体" w:hAnsi="宋体" w:cs="FangSong_GB2312-Identity-H"/>
          <w:color w:val="auto"/>
          <w:sz w:val="24"/>
          <w:highlight w:val="none"/>
        </w:rPr>
        <w:t>我方承诺：除上表中的技术条款不响应外，完全响应招标文件的其他条款。</w:t>
      </w:r>
    </w:p>
    <w:p w14:paraId="7F267BB6">
      <w:pPr>
        <w:spacing w:line="700" w:lineRule="exact"/>
        <w:rPr>
          <w:rFonts w:ascii="宋体" w:hAnsi="宋体" w:cs="SimSun-Identity-H"/>
          <w:color w:val="auto"/>
          <w:sz w:val="24"/>
          <w:highlight w:val="none"/>
        </w:rPr>
      </w:pPr>
    </w:p>
    <w:p w14:paraId="140136E3">
      <w:pPr>
        <w:spacing w:line="700" w:lineRule="exact"/>
        <w:rPr>
          <w:rFonts w:ascii="宋体" w:hAnsi="宋体" w:cs="SimSun-Identity-H"/>
          <w:color w:val="auto"/>
          <w:sz w:val="24"/>
          <w:highlight w:val="none"/>
        </w:rPr>
      </w:pPr>
      <w:r>
        <w:rPr>
          <w:rFonts w:hint="eastAsia" w:ascii="宋体" w:hAnsi="宋体" w:cs="SimSun-Identity-H"/>
          <w:color w:val="auto"/>
          <w:sz w:val="24"/>
          <w:highlight w:val="none"/>
        </w:rPr>
        <w:t>投标人</w:t>
      </w:r>
      <w:r>
        <w:rPr>
          <w:rFonts w:ascii="宋体" w:hAnsi="宋体" w:cs="SimSun-Identity-H"/>
          <w:color w:val="auto"/>
          <w:sz w:val="24"/>
          <w:highlight w:val="none"/>
        </w:rPr>
        <w:t>(</w:t>
      </w:r>
      <w:r>
        <w:rPr>
          <w:rFonts w:hint="eastAsia" w:ascii="宋体" w:hAnsi="宋体" w:cs="SimSun-Identity-H"/>
          <w:color w:val="auto"/>
          <w:sz w:val="24"/>
          <w:highlight w:val="none"/>
        </w:rPr>
        <w:t>公章</w:t>
      </w:r>
      <w:r>
        <w:rPr>
          <w:rFonts w:ascii="宋体" w:hAnsi="宋体" w:cs="SimSun-Identity-H"/>
          <w:color w:val="auto"/>
          <w:sz w:val="24"/>
          <w:highlight w:val="none"/>
        </w:rPr>
        <w:t xml:space="preserve">) </w:t>
      </w:r>
      <w:r>
        <w:rPr>
          <w:rFonts w:hint="eastAsia" w:ascii="宋体" w:hAnsi="宋体" w:cs="SimSun-Identity-H"/>
          <w:color w:val="auto"/>
          <w:sz w:val="24"/>
          <w:highlight w:val="none"/>
        </w:rPr>
        <w:t>：</w:t>
      </w:r>
      <w:r>
        <w:rPr>
          <w:rFonts w:ascii="宋体" w:hAnsi="宋体" w:cs="SimSun-Identity-H"/>
          <w:color w:val="auto"/>
          <w:sz w:val="24"/>
          <w:highlight w:val="none"/>
        </w:rPr>
        <w:t xml:space="preserve">                          </w:t>
      </w:r>
    </w:p>
    <w:p w14:paraId="1304540C">
      <w:pPr>
        <w:spacing w:line="500" w:lineRule="exact"/>
        <w:jc w:val="left"/>
        <w:rPr>
          <w:rFonts w:ascii="宋体" w:cs="FangSong_GB2312-Identity-H"/>
          <w:color w:val="auto"/>
          <w:sz w:val="24"/>
          <w:highlight w:val="none"/>
          <w:u w:val="single"/>
        </w:rPr>
      </w:pPr>
      <w:r>
        <w:rPr>
          <w:rFonts w:hint="eastAsia" w:ascii="宋体" w:hAnsi="宋体" w:cs="FangSong_GB2312-Identity-H"/>
          <w:color w:val="auto"/>
          <w:sz w:val="24"/>
          <w:highlight w:val="none"/>
        </w:rPr>
        <w:t>法定代表人或授权委托人（签字或盖章）：</w:t>
      </w:r>
      <w:r>
        <w:rPr>
          <w:rFonts w:ascii="宋体" w:hAnsi="宋体" w:cs="FangSong_GB2312-Identity-H"/>
          <w:color w:val="auto"/>
          <w:sz w:val="24"/>
          <w:highlight w:val="none"/>
          <w:u w:val="single"/>
        </w:rPr>
        <w:t xml:space="preserve">                       </w:t>
      </w:r>
    </w:p>
    <w:p w14:paraId="52326212">
      <w:pPr>
        <w:spacing w:line="500" w:lineRule="exact"/>
        <w:jc w:val="left"/>
        <w:rPr>
          <w:rFonts w:ascii="宋体" w:cs="FangSong_GB2312-Identity-H"/>
          <w:b/>
          <w:bCs/>
          <w:color w:val="auto"/>
          <w:sz w:val="24"/>
          <w:highlight w:val="none"/>
        </w:rPr>
      </w:pPr>
      <w:r>
        <w:rPr>
          <w:rFonts w:hint="eastAsia" w:ascii="宋体" w:hAnsi="宋体" w:cs="FangSong_GB2312-Identity-H"/>
          <w:color w:val="auto"/>
          <w:sz w:val="24"/>
          <w:highlight w:val="none"/>
        </w:rPr>
        <w:t>日期：</w:t>
      </w:r>
      <w:r>
        <w:rPr>
          <w:rFonts w:ascii="宋体" w:hAnsi="宋体" w:cs="FangSong_GB2312-Identity-H"/>
          <w:color w:val="auto"/>
          <w:sz w:val="24"/>
          <w:highlight w:val="none"/>
        </w:rPr>
        <w:t xml:space="preserve"> </w:t>
      </w:r>
      <w:r>
        <w:rPr>
          <w:rFonts w:ascii="宋体" w:hAnsi="宋体" w:cs="FangSong_GB2312-Identity-H"/>
          <w:color w:val="auto"/>
          <w:sz w:val="24"/>
          <w:highlight w:val="none"/>
          <w:u w:val="single"/>
        </w:rPr>
        <w:t xml:space="preserve">         </w:t>
      </w:r>
      <w:r>
        <w:rPr>
          <w:rFonts w:hint="eastAsia" w:ascii="宋体" w:hAnsi="宋体" w:cs="FangSong_GB2312-Identity-H"/>
          <w:color w:val="auto"/>
          <w:sz w:val="24"/>
          <w:highlight w:val="none"/>
        </w:rPr>
        <w:t>年</w:t>
      </w:r>
      <w:r>
        <w:rPr>
          <w:rFonts w:ascii="宋体" w:hAnsi="宋体" w:cs="FangSong_GB2312-Identity-H"/>
          <w:color w:val="auto"/>
          <w:sz w:val="24"/>
          <w:highlight w:val="none"/>
          <w:u w:val="single"/>
        </w:rPr>
        <w:t xml:space="preserve">        </w:t>
      </w:r>
      <w:r>
        <w:rPr>
          <w:rFonts w:hint="eastAsia" w:ascii="宋体" w:hAnsi="宋体" w:cs="FangSong_GB2312-Identity-H"/>
          <w:color w:val="auto"/>
          <w:sz w:val="24"/>
          <w:highlight w:val="none"/>
        </w:rPr>
        <w:t>月</w:t>
      </w:r>
      <w:r>
        <w:rPr>
          <w:rFonts w:ascii="宋体" w:hAnsi="宋体" w:cs="FangSong_GB2312-Identity-H"/>
          <w:color w:val="auto"/>
          <w:sz w:val="24"/>
          <w:highlight w:val="none"/>
          <w:u w:val="single"/>
        </w:rPr>
        <w:t xml:space="preserve">         </w:t>
      </w:r>
      <w:r>
        <w:rPr>
          <w:rFonts w:hint="eastAsia" w:ascii="宋体" w:hAnsi="宋体" w:cs="FangSong_GB2312-Identity-H"/>
          <w:color w:val="auto"/>
          <w:sz w:val="24"/>
          <w:highlight w:val="none"/>
        </w:rPr>
        <w:t>日</w:t>
      </w:r>
    </w:p>
    <w:p w14:paraId="1827ABC9">
      <w:pPr>
        <w:ind w:right="550" w:firstLine="315"/>
        <w:rPr>
          <w:rFonts w:ascii="宋体" w:hAnsi="宋体" w:cs="Angsana New"/>
          <w:color w:val="auto"/>
          <w:szCs w:val="21"/>
          <w:highlight w:val="none"/>
          <w:lang w:bidi="th-TH"/>
        </w:rPr>
      </w:pPr>
    </w:p>
    <w:p w14:paraId="0BEED301">
      <w:pPr>
        <w:spacing w:line="500" w:lineRule="exact"/>
        <w:rPr>
          <w:rFonts w:ascii="宋体" w:hAnsi="宋体" w:cs="FangSong_GB2312-Identity-H"/>
          <w:b/>
          <w:bCs/>
          <w:color w:val="auto"/>
          <w:sz w:val="24"/>
          <w:highlight w:val="none"/>
        </w:rPr>
      </w:pPr>
      <w:r>
        <w:rPr>
          <w:rFonts w:ascii="宋体" w:hAnsi="宋体" w:cs="FangSong_GB2312-Identity-H"/>
          <w:color w:val="auto"/>
          <w:sz w:val="24"/>
          <w:highlight w:val="none"/>
        </w:rPr>
        <w:br w:type="page" w:clear="all"/>
      </w:r>
      <w:r>
        <w:rPr>
          <w:rFonts w:hint="eastAsia" w:ascii="宋体" w:hAnsi="宋体" w:cs="FangSong_GB2312-Identity-H"/>
          <w:color w:val="auto"/>
          <w:sz w:val="24"/>
          <w:highlight w:val="none"/>
        </w:rPr>
        <w:t>格式六：</w:t>
      </w:r>
    </w:p>
    <w:p w14:paraId="27E36443">
      <w:pPr>
        <w:spacing w:line="700" w:lineRule="exact"/>
        <w:jc w:val="center"/>
        <w:rPr>
          <w:rFonts w:ascii="宋体" w:hAnsi="宋体" w:cs="FangSong_GB2312-Identity-H"/>
          <w:b/>
          <w:bCs/>
          <w:color w:val="auto"/>
          <w:sz w:val="36"/>
          <w:szCs w:val="36"/>
          <w:highlight w:val="none"/>
        </w:rPr>
      </w:pPr>
      <w:r>
        <w:rPr>
          <w:rFonts w:hint="eastAsia" w:ascii="宋体" w:hAnsi="宋体" w:cs="FangSong_GB2312-Identity-H"/>
          <w:b/>
          <w:bCs/>
          <w:color w:val="auto"/>
          <w:sz w:val="36"/>
          <w:szCs w:val="36"/>
          <w:highlight w:val="none"/>
        </w:rPr>
        <w:t>商务条款偏离表</w:t>
      </w:r>
    </w:p>
    <w:p w14:paraId="4EAB4B0A">
      <w:pPr>
        <w:spacing w:line="700" w:lineRule="exact"/>
        <w:rPr>
          <w:rFonts w:ascii="宋体" w:hAnsi="宋体" w:cs="FangSong_GB2312-Identity-H"/>
          <w:color w:val="auto"/>
          <w:szCs w:val="21"/>
          <w:highlight w:val="none"/>
        </w:rPr>
      </w:pPr>
      <w:r>
        <w:rPr>
          <w:rFonts w:hint="eastAsia" w:ascii="宋体" w:hAnsi="宋体" w:cs="FangSong_GB2312-Identity-H"/>
          <w:color w:val="auto"/>
          <w:szCs w:val="21"/>
          <w:highlight w:val="none"/>
        </w:rPr>
        <w:t xml:space="preserve">                          </w:t>
      </w:r>
      <w:r>
        <w:rPr>
          <w:rFonts w:ascii="宋体" w:hAnsi="宋体" w:cs="FangSong_GB2312-Identity-H"/>
          <w:color w:val="auto"/>
          <w:szCs w:val="21"/>
          <w:highlight w:val="none"/>
        </w:rPr>
        <w:t xml:space="preserve"> </w:t>
      </w:r>
    </w:p>
    <w:tbl>
      <w:tblPr>
        <w:tblStyle w:val="32"/>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368"/>
        <w:gridCol w:w="1971"/>
        <w:gridCol w:w="2349"/>
        <w:gridCol w:w="2340"/>
        <w:gridCol w:w="1620"/>
      </w:tblGrid>
      <w:tr w14:paraId="13486AF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992" w:hRule="atLeast"/>
          <w:jc w:val="center"/>
        </w:trPr>
        <w:tc>
          <w:tcPr>
            <w:tcW w:w="1368" w:type="dxa"/>
            <w:vAlign w:val="center"/>
          </w:tcPr>
          <w:p w14:paraId="0FA27967">
            <w:pPr>
              <w:spacing w:line="360" w:lineRule="exact"/>
              <w:jc w:val="center"/>
              <w:rPr>
                <w:rFonts w:ascii="宋体" w:hAnsi="宋体" w:cs="FangSong_GB2312-Identity-H"/>
                <w:bCs/>
                <w:color w:val="auto"/>
                <w:szCs w:val="21"/>
                <w:highlight w:val="none"/>
              </w:rPr>
            </w:pPr>
            <w:r>
              <w:rPr>
                <w:rFonts w:hint="eastAsia" w:ascii="宋体" w:hAnsi="宋体" w:cs="FangSong_GB2312-Identity-H"/>
                <w:bCs/>
                <w:color w:val="auto"/>
                <w:szCs w:val="21"/>
                <w:highlight w:val="none"/>
              </w:rPr>
              <w:t>序号</w:t>
            </w:r>
          </w:p>
        </w:tc>
        <w:tc>
          <w:tcPr>
            <w:tcW w:w="1971" w:type="dxa"/>
            <w:vAlign w:val="center"/>
          </w:tcPr>
          <w:p w14:paraId="238F84FD">
            <w:pPr>
              <w:spacing w:line="360" w:lineRule="exact"/>
              <w:jc w:val="center"/>
              <w:rPr>
                <w:rFonts w:ascii="宋体" w:hAnsi="宋体" w:cs="FangSong_GB2312-Identity-H"/>
                <w:bCs/>
                <w:color w:val="auto"/>
                <w:szCs w:val="21"/>
                <w:highlight w:val="none"/>
              </w:rPr>
            </w:pPr>
            <w:r>
              <w:rPr>
                <w:rFonts w:hint="eastAsia" w:ascii="宋体" w:hAnsi="宋体" w:cs="FangSong_GB2312-Identity-H"/>
                <w:bCs/>
                <w:color w:val="auto"/>
                <w:szCs w:val="21"/>
                <w:highlight w:val="none"/>
              </w:rPr>
              <w:t>招标文件</w:t>
            </w:r>
          </w:p>
          <w:p w14:paraId="30CBC3CA">
            <w:pPr>
              <w:spacing w:line="360" w:lineRule="exact"/>
              <w:jc w:val="center"/>
              <w:rPr>
                <w:rFonts w:ascii="宋体" w:hAnsi="宋体" w:cs="FangSong_GB2312-Identity-H"/>
                <w:bCs/>
                <w:color w:val="auto"/>
                <w:szCs w:val="21"/>
                <w:highlight w:val="none"/>
              </w:rPr>
            </w:pPr>
            <w:r>
              <w:rPr>
                <w:rFonts w:hint="eastAsia" w:ascii="宋体" w:hAnsi="宋体" w:cs="FangSong_GB2312-Identity-H"/>
                <w:bCs/>
                <w:color w:val="auto"/>
                <w:szCs w:val="21"/>
                <w:highlight w:val="none"/>
              </w:rPr>
              <w:t>条目号</w:t>
            </w:r>
          </w:p>
        </w:tc>
        <w:tc>
          <w:tcPr>
            <w:tcW w:w="2349" w:type="dxa"/>
            <w:vAlign w:val="center"/>
          </w:tcPr>
          <w:p w14:paraId="10BE9DFB">
            <w:pPr>
              <w:spacing w:line="360" w:lineRule="exact"/>
              <w:jc w:val="center"/>
              <w:rPr>
                <w:rFonts w:ascii="宋体" w:hAnsi="宋体" w:cs="FangSong_GB2312-Identity-H"/>
                <w:bCs/>
                <w:color w:val="auto"/>
                <w:szCs w:val="21"/>
                <w:highlight w:val="none"/>
              </w:rPr>
            </w:pPr>
            <w:r>
              <w:rPr>
                <w:rFonts w:hint="eastAsia" w:ascii="宋体" w:hAnsi="宋体" w:cs="FangSong_GB2312-Identity-H"/>
                <w:bCs/>
                <w:color w:val="auto"/>
                <w:szCs w:val="21"/>
                <w:highlight w:val="none"/>
              </w:rPr>
              <w:t>招标文件的</w:t>
            </w:r>
          </w:p>
          <w:p w14:paraId="57AFA8FA">
            <w:pPr>
              <w:spacing w:line="360" w:lineRule="exact"/>
              <w:jc w:val="center"/>
              <w:rPr>
                <w:rFonts w:ascii="宋体" w:hAnsi="宋体" w:cs="FangSong_GB2312-Identity-H"/>
                <w:bCs/>
                <w:color w:val="auto"/>
                <w:szCs w:val="21"/>
                <w:highlight w:val="none"/>
              </w:rPr>
            </w:pPr>
            <w:r>
              <w:rPr>
                <w:rFonts w:hint="eastAsia" w:ascii="宋体" w:hAnsi="宋体" w:cs="FangSong_GB2312-Identity-H"/>
                <w:bCs/>
                <w:color w:val="auto"/>
                <w:szCs w:val="21"/>
                <w:highlight w:val="none"/>
              </w:rPr>
              <w:t>商务条款</w:t>
            </w:r>
          </w:p>
        </w:tc>
        <w:tc>
          <w:tcPr>
            <w:tcW w:w="2340" w:type="dxa"/>
            <w:vAlign w:val="center"/>
          </w:tcPr>
          <w:p w14:paraId="7B7AB811">
            <w:pPr>
              <w:spacing w:line="360" w:lineRule="exact"/>
              <w:jc w:val="center"/>
              <w:rPr>
                <w:rFonts w:ascii="宋体" w:hAnsi="宋体" w:cs="FangSong_GB2312-Identity-H"/>
                <w:bCs/>
                <w:color w:val="auto"/>
                <w:szCs w:val="21"/>
                <w:highlight w:val="none"/>
              </w:rPr>
            </w:pPr>
            <w:r>
              <w:rPr>
                <w:rFonts w:hint="eastAsia" w:ascii="宋体" w:hAnsi="宋体" w:cs="FangSong_GB2312-Identity-H"/>
                <w:bCs/>
                <w:color w:val="auto"/>
                <w:szCs w:val="21"/>
                <w:highlight w:val="none"/>
              </w:rPr>
              <w:t>投标文件的</w:t>
            </w:r>
          </w:p>
          <w:p w14:paraId="382C9BC3">
            <w:pPr>
              <w:spacing w:line="360" w:lineRule="exact"/>
              <w:jc w:val="center"/>
              <w:rPr>
                <w:rFonts w:ascii="宋体" w:hAnsi="宋体" w:cs="FangSong_GB2312-Identity-H"/>
                <w:bCs/>
                <w:color w:val="auto"/>
                <w:szCs w:val="21"/>
                <w:highlight w:val="none"/>
              </w:rPr>
            </w:pPr>
            <w:r>
              <w:rPr>
                <w:rFonts w:hint="eastAsia" w:ascii="宋体" w:hAnsi="宋体" w:cs="FangSong_GB2312-Identity-H"/>
                <w:bCs/>
                <w:color w:val="auto"/>
                <w:szCs w:val="21"/>
                <w:highlight w:val="none"/>
              </w:rPr>
              <w:t>商务条款</w:t>
            </w:r>
          </w:p>
        </w:tc>
        <w:tc>
          <w:tcPr>
            <w:tcW w:w="1620" w:type="dxa"/>
            <w:vAlign w:val="center"/>
          </w:tcPr>
          <w:p w14:paraId="27F9C292">
            <w:pPr>
              <w:spacing w:line="360" w:lineRule="exact"/>
              <w:jc w:val="center"/>
              <w:rPr>
                <w:rFonts w:ascii="宋体" w:hAnsi="宋体" w:cs="FangSong_GB2312-Identity-H"/>
                <w:bCs/>
                <w:color w:val="auto"/>
                <w:szCs w:val="21"/>
                <w:highlight w:val="none"/>
              </w:rPr>
            </w:pPr>
            <w:r>
              <w:rPr>
                <w:rFonts w:hint="eastAsia" w:ascii="宋体" w:hAnsi="宋体" w:cs="FangSong_GB2312-Identity-H"/>
                <w:bCs/>
                <w:color w:val="auto"/>
                <w:szCs w:val="21"/>
                <w:highlight w:val="none"/>
              </w:rPr>
              <w:t>说明</w:t>
            </w:r>
          </w:p>
        </w:tc>
      </w:tr>
      <w:tr w14:paraId="60CFD24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65" w:hRule="exact"/>
          <w:jc w:val="center"/>
        </w:trPr>
        <w:tc>
          <w:tcPr>
            <w:tcW w:w="1368" w:type="dxa"/>
            <w:vAlign w:val="center"/>
          </w:tcPr>
          <w:p w14:paraId="697E4D42">
            <w:pPr>
              <w:spacing w:line="700" w:lineRule="exact"/>
              <w:jc w:val="center"/>
              <w:rPr>
                <w:rFonts w:ascii="宋体" w:hAnsi="宋体" w:cs="FangSong_GB2312-Identity-H"/>
                <w:bCs/>
                <w:color w:val="auto"/>
                <w:szCs w:val="21"/>
                <w:highlight w:val="none"/>
              </w:rPr>
            </w:pPr>
          </w:p>
        </w:tc>
        <w:tc>
          <w:tcPr>
            <w:tcW w:w="1971" w:type="dxa"/>
            <w:vAlign w:val="center"/>
          </w:tcPr>
          <w:p w14:paraId="1FA49E1A">
            <w:pPr>
              <w:spacing w:line="700" w:lineRule="exact"/>
              <w:jc w:val="center"/>
              <w:rPr>
                <w:rFonts w:ascii="宋体" w:hAnsi="宋体" w:cs="FangSong_GB2312-Identity-H"/>
                <w:bCs/>
                <w:color w:val="auto"/>
                <w:szCs w:val="21"/>
                <w:highlight w:val="none"/>
              </w:rPr>
            </w:pPr>
          </w:p>
        </w:tc>
        <w:tc>
          <w:tcPr>
            <w:tcW w:w="2349" w:type="dxa"/>
            <w:vAlign w:val="center"/>
          </w:tcPr>
          <w:p w14:paraId="30D9B198">
            <w:pPr>
              <w:spacing w:line="700" w:lineRule="exact"/>
              <w:jc w:val="center"/>
              <w:rPr>
                <w:rFonts w:ascii="宋体" w:hAnsi="宋体" w:cs="FangSong_GB2312-Identity-H"/>
                <w:bCs/>
                <w:color w:val="auto"/>
                <w:szCs w:val="21"/>
                <w:highlight w:val="none"/>
              </w:rPr>
            </w:pPr>
          </w:p>
        </w:tc>
        <w:tc>
          <w:tcPr>
            <w:tcW w:w="2340" w:type="dxa"/>
            <w:vAlign w:val="center"/>
          </w:tcPr>
          <w:p w14:paraId="05B69CD3">
            <w:pPr>
              <w:spacing w:line="700" w:lineRule="exact"/>
              <w:jc w:val="center"/>
              <w:rPr>
                <w:rFonts w:ascii="宋体" w:hAnsi="宋体" w:cs="FangSong_GB2312-Identity-H"/>
                <w:bCs/>
                <w:color w:val="auto"/>
                <w:szCs w:val="21"/>
                <w:highlight w:val="none"/>
              </w:rPr>
            </w:pPr>
          </w:p>
        </w:tc>
        <w:tc>
          <w:tcPr>
            <w:tcW w:w="1620" w:type="dxa"/>
            <w:vAlign w:val="center"/>
          </w:tcPr>
          <w:p w14:paraId="299D683D">
            <w:pPr>
              <w:spacing w:line="700" w:lineRule="exact"/>
              <w:jc w:val="center"/>
              <w:rPr>
                <w:rFonts w:ascii="宋体" w:hAnsi="宋体" w:cs="FangSong_GB2312-Identity-H"/>
                <w:bCs/>
                <w:color w:val="auto"/>
                <w:szCs w:val="21"/>
                <w:highlight w:val="none"/>
              </w:rPr>
            </w:pPr>
          </w:p>
        </w:tc>
      </w:tr>
      <w:tr w14:paraId="7191E62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65" w:hRule="exact"/>
          <w:jc w:val="center"/>
        </w:trPr>
        <w:tc>
          <w:tcPr>
            <w:tcW w:w="1368" w:type="dxa"/>
            <w:vAlign w:val="center"/>
          </w:tcPr>
          <w:p w14:paraId="2A5595E8">
            <w:pPr>
              <w:spacing w:line="700" w:lineRule="exact"/>
              <w:jc w:val="center"/>
              <w:rPr>
                <w:rFonts w:ascii="宋体" w:hAnsi="宋体" w:cs="FangSong_GB2312-Identity-H"/>
                <w:bCs/>
                <w:color w:val="auto"/>
                <w:szCs w:val="21"/>
                <w:highlight w:val="none"/>
              </w:rPr>
            </w:pPr>
          </w:p>
        </w:tc>
        <w:tc>
          <w:tcPr>
            <w:tcW w:w="1971" w:type="dxa"/>
            <w:vAlign w:val="center"/>
          </w:tcPr>
          <w:p w14:paraId="1C84C203">
            <w:pPr>
              <w:spacing w:line="700" w:lineRule="exact"/>
              <w:jc w:val="center"/>
              <w:rPr>
                <w:rFonts w:ascii="宋体" w:hAnsi="宋体" w:cs="FangSong_GB2312-Identity-H"/>
                <w:bCs/>
                <w:color w:val="auto"/>
                <w:szCs w:val="21"/>
                <w:highlight w:val="none"/>
              </w:rPr>
            </w:pPr>
          </w:p>
        </w:tc>
        <w:tc>
          <w:tcPr>
            <w:tcW w:w="2349" w:type="dxa"/>
            <w:vAlign w:val="center"/>
          </w:tcPr>
          <w:p w14:paraId="4E375C3C">
            <w:pPr>
              <w:spacing w:line="700" w:lineRule="exact"/>
              <w:jc w:val="center"/>
              <w:rPr>
                <w:rFonts w:ascii="宋体" w:hAnsi="宋体" w:cs="FangSong_GB2312-Identity-H"/>
                <w:bCs/>
                <w:color w:val="auto"/>
                <w:szCs w:val="21"/>
                <w:highlight w:val="none"/>
              </w:rPr>
            </w:pPr>
          </w:p>
        </w:tc>
        <w:tc>
          <w:tcPr>
            <w:tcW w:w="2340" w:type="dxa"/>
            <w:vAlign w:val="center"/>
          </w:tcPr>
          <w:p w14:paraId="4E667121">
            <w:pPr>
              <w:spacing w:line="700" w:lineRule="exact"/>
              <w:jc w:val="center"/>
              <w:rPr>
                <w:rFonts w:ascii="宋体" w:hAnsi="宋体" w:cs="FangSong_GB2312-Identity-H"/>
                <w:bCs/>
                <w:color w:val="auto"/>
                <w:szCs w:val="21"/>
                <w:highlight w:val="none"/>
              </w:rPr>
            </w:pPr>
          </w:p>
        </w:tc>
        <w:tc>
          <w:tcPr>
            <w:tcW w:w="1620" w:type="dxa"/>
            <w:vAlign w:val="center"/>
          </w:tcPr>
          <w:p w14:paraId="43788095">
            <w:pPr>
              <w:spacing w:line="700" w:lineRule="exact"/>
              <w:jc w:val="center"/>
              <w:rPr>
                <w:rFonts w:ascii="宋体" w:hAnsi="宋体" w:cs="FangSong_GB2312-Identity-H"/>
                <w:bCs/>
                <w:color w:val="auto"/>
                <w:szCs w:val="21"/>
                <w:highlight w:val="none"/>
              </w:rPr>
            </w:pPr>
          </w:p>
        </w:tc>
      </w:tr>
      <w:tr w14:paraId="0093CB1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765" w:hRule="exact"/>
          <w:jc w:val="center"/>
        </w:trPr>
        <w:tc>
          <w:tcPr>
            <w:tcW w:w="1368" w:type="dxa"/>
            <w:vAlign w:val="center"/>
          </w:tcPr>
          <w:p w14:paraId="7E545F07">
            <w:pPr>
              <w:spacing w:line="700" w:lineRule="exact"/>
              <w:jc w:val="center"/>
              <w:rPr>
                <w:rFonts w:ascii="宋体" w:hAnsi="宋体" w:cs="FangSong_GB2312-Identity-H"/>
                <w:bCs/>
                <w:color w:val="auto"/>
                <w:szCs w:val="21"/>
                <w:highlight w:val="none"/>
              </w:rPr>
            </w:pPr>
          </w:p>
        </w:tc>
        <w:tc>
          <w:tcPr>
            <w:tcW w:w="1971" w:type="dxa"/>
            <w:vAlign w:val="center"/>
          </w:tcPr>
          <w:p w14:paraId="464FC198">
            <w:pPr>
              <w:spacing w:line="700" w:lineRule="exact"/>
              <w:jc w:val="center"/>
              <w:rPr>
                <w:rFonts w:ascii="宋体" w:hAnsi="宋体" w:cs="FangSong_GB2312-Identity-H"/>
                <w:bCs/>
                <w:color w:val="auto"/>
                <w:szCs w:val="21"/>
                <w:highlight w:val="none"/>
              </w:rPr>
            </w:pPr>
          </w:p>
        </w:tc>
        <w:tc>
          <w:tcPr>
            <w:tcW w:w="2349" w:type="dxa"/>
            <w:vAlign w:val="center"/>
          </w:tcPr>
          <w:p w14:paraId="4214C466">
            <w:pPr>
              <w:spacing w:line="700" w:lineRule="exact"/>
              <w:jc w:val="center"/>
              <w:rPr>
                <w:rFonts w:ascii="宋体" w:hAnsi="宋体" w:cs="FangSong_GB2312-Identity-H"/>
                <w:bCs/>
                <w:color w:val="auto"/>
                <w:szCs w:val="21"/>
                <w:highlight w:val="none"/>
              </w:rPr>
            </w:pPr>
          </w:p>
        </w:tc>
        <w:tc>
          <w:tcPr>
            <w:tcW w:w="2340" w:type="dxa"/>
            <w:vAlign w:val="center"/>
          </w:tcPr>
          <w:p w14:paraId="1B225E94">
            <w:pPr>
              <w:spacing w:line="700" w:lineRule="exact"/>
              <w:jc w:val="center"/>
              <w:rPr>
                <w:rFonts w:ascii="宋体" w:hAnsi="宋体" w:cs="FangSong_GB2312-Identity-H"/>
                <w:bCs/>
                <w:color w:val="auto"/>
                <w:szCs w:val="21"/>
                <w:highlight w:val="none"/>
              </w:rPr>
            </w:pPr>
          </w:p>
        </w:tc>
        <w:tc>
          <w:tcPr>
            <w:tcW w:w="1620" w:type="dxa"/>
            <w:vAlign w:val="center"/>
          </w:tcPr>
          <w:p w14:paraId="5E578045">
            <w:pPr>
              <w:spacing w:line="700" w:lineRule="exact"/>
              <w:jc w:val="center"/>
              <w:rPr>
                <w:rFonts w:ascii="宋体" w:hAnsi="宋体" w:cs="FangSong_GB2312-Identity-H"/>
                <w:bCs/>
                <w:color w:val="auto"/>
                <w:szCs w:val="21"/>
                <w:highlight w:val="none"/>
              </w:rPr>
            </w:pPr>
          </w:p>
        </w:tc>
      </w:tr>
      <w:tr w14:paraId="3A5210A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65" w:hRule="exact"/>
          <w:jc w:val="center"/>
        </w:trPr>
        <w:tc>
          <w:tcPr>
            <w:tcW w:w="1368" w:type="dxa"/>
            <w:vAlign w:val="center"/>
          </w:tcPr>
          <w:p w14:paraId="6C5DA65A">
            <w:pPr>
              <w:spacing w:line="700" w:lineRule="exact"/>
              <w:jc w:val="center"/>
              <w:rPr>
                <w:rFonts w:ascii="宋体" w:hAnsi="宋体" w:cs="FangSong_GB2312-Identity-H"/>
                <w:bCs/>
                <w:color w:val="auto"/>
                <w:szCs w:val="21"/>
                <w:highlight w:val="none"/>
              </w:rPr>
            </w:pPr>
          </w:p>
        </w:tc>
        <w:tc>
          <w:tcPr>
            <w:tcW w:w="1971" w:type="dxa"/>
            <w:vAlign w:val="center"/>
          </w:tcPr>
          <w:p w14:paraId="0C765CD0">
            <w:pPr>
              <w:spacing w:line="700" w:lineRule="exact"/>
              <w:jc w:val="center"/>
              <w:rPr>
                <w:rFonts w:ascii="宋体" w:hAnsi="宋体" w:cs="FangSong_GB2312-Identity-H"/>
                <w:bCs/>
                <w:color w:val="auto"/>
                <w:szCs w:val="21"/>
                <w:highlight w:val="none"/>
              </w:rPr>
            </w:pPr>
          </w:p>
        </w:tc>
        <w:tc>
          <w:tcPr>
            <w:tcW w:w="2349" w:type="dxa"/>
            <w:vAlign w:val="center"/>
          </w:tcPr>
          <w:p w14:paraId="22C50DC4">
            <w:pPr>
              <w:spacing w:line="700" w:lineRule="exact"/>
              <w:jc w:val="center"/>
              <w:rPr>
                <w:rFonts w:ascii="宋体" w:hAnsi="宋体" w:cs="FangSong_GB2312-Identity-H"/>
                <w:bCs/>
                <w:color w:val="auto"/>
                <w:szCs w:val="21"/>
                <w:highlight w:val="none"/>
              </w:rPr>
            </w:pPr>
          </w:p>
        </w:tc>
        <w:tc>
          <w:tcPr>
            <w:tcW w:w="2340" w:type="dxa"/>
            <w:vAlign w:val="center"/>
          </w:tcPr>
          <w:p w14:paraId="48461626">
            <w:pPr>
              <w:spacing w:line="700" w:lineRule="exact"/>
              <w:jc w:val="center"/>
              <w:rPr>
                <w:rFonts w:ascii="宋体" w:hAnsi="宋体" w:cs="FangSong_GB2312-Identity-H"/>
                <w:bCs/>
                <w:color w:val="auto"/>
                <w:szCs w:val="21"/>
                <w:highlight w:val="none"/>
              </w:rPr>
            </w:pPr>
          </w:p>
        </w:tc>
        <w:tc>
          <w:tcPr>
            <w:tcW w:w="1620" w:type="dxa"/>
            <w:vAlign w:val="center"/>
          </w:tcPr>
          <w:p w14:paraId="7158A71F">
            <w:pPr>
              <w:spacing w:line="700" w:lineRule="exact"/>
              <w:jc w:val="center"/>
              <w:rPr>
                <w:rFonts w:ascii="宋体" w:hAnsi="宋体" w:cs="FangSong_GB2312-Identity-H"/>
                <w:bCs/>
                <w:color w:val="auto"/>
                <w:szCs w:val="21"/>
                <w:highlight w:val="none"/>
              </w:rPr>
            </w:pPr>
          </w:p>
        </w:tc>
      </w:tr>
      <w:tr w14:paraId="355CED5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65" w:hRule="exact"/>
          <w:jc w:val="center"/>
        </w:trPr>
        <w:tc>
          <w:tcPr>
            <w:tcW w:w="1368" w:type="dxa"/>
            <w:vAlign w:val="center"/>
          </w:tcPr>
          <w:p w14:paraId="05F6B02C">
            <w:pPr>
              <w:spacing w:line="700" w:lineRule="exact"/>
              <w:jc w:val="center"/>
              <w:rPr>
                <w:rFonts w:ascii="宋体" w:hAnsi="宋体" w:cs="FangSong_GB2312-Identity-H"/>
                <w:bCs/>
                <w:color w:val="auto"/>
                <w:szCs w:val="21"/>
                <w:highlight w:val="none"/>
              </w:rPr>
            </w:pPr>
          </w:p>
        </w:tc>
        <w:tc>
          <w:tcPr>
            <w:tcW w:w="1971" w:type="dxa"/>
            <w:vAlign w:val="center"/>
          </w:tcPr>
          <w:p w14:paraId="546D30B9">
            <w:pPr>
              <w:spacing w:line="700" w:lineRule="exact"/>
              <w:jc w:val="center"/>
              <w:rPr>
                <w:rFonts w:ascii="宋体" w:hAnsi="宋体" w:cs="FangSong_GB2312-Identity-H"/>
                <w:bCs/>
                <w:color w:val="auto"/>
                <w:szCs w:val="21"/>
                <w:highlight w:val="none"/>
              </w:rPr>
            </w:pPr>
          </w:p>
        </w:tc>
        <w:tc>
          <w:tcPr>
            <w:tcW w:w="2349" w:type="dxa"/>
            <w:vAlign w:val="center"/>
          </w:tcPr>
          <w:p w14:paraId="0E40B60F">
            <w:pPr>
              <w:spacing w:line="700" w:lineRule="exact"/>
              <w:jc w:val="center"/>
              <w:rPr>
                <w:rFonts w:ascii="宋体" w:hAnsi="宋体" w:cs="FangSong_GB2312-Identity-H"/>
                <w:bCs/>
                <w:color w:val="auto"/>
                <w:szCs w:val="21"/>
                <w:highlight w:val="none"/>
              </w:rPr>
            </w:pPr>
          </w:p>
        </w:tc>
        <w:tc>
          <w:tcPr>
            <w:tcW w:w="2340" w:type="dxa"/>
            <w:vAlign w:val="center"/>
          </w:tcPr>
          <w:p w14:paraId="2E6EF9A9">
            <w:pPr>
              <w:spacing w:line="700" w:lineRule="exact"/>
              <w:jc w:val="center"/>
              <w:rPr>
                <w:rFonts w:ascii="宋体" w:hAnsi="宋体" w:cs="FangSong_GB2312-Identity-H"/>
                <w:bCs/>
                <w:color w:val="auto"/>
                <w:szCs w:val="21"/>
                <w:highlight w:val="none"/>
              </w:rPr>
            </w:pPr>
          </w:p>
        </w:tc>
        <w:tc>
          <w:tcPr>
            <w:tcW w:w="1620" w:type="dxa"/>
            <w:vAlign w:val="center"/>
          </w:tcPr>
          <w:p w14:paraId="07E549B8">
            <w:pPr>
              <w:spacing w:line="700" w:lineRule="exact"/>
              <w:jc w:val="center"/>
              <w:rPr>
                <w:rFonts w:ascii="宋体" w:hAnsi="宋体" w:cs="FangSong_GB2312-Identity-H"/>
                <w:bCs/>
                <w:color w:val="auto"/>
                <w:szCs w:val="21"/>
                <w:highlight w:val="none"/>
              </w:rPr>
            </w:pPr>
          </w:p>
        </w:tc>
      </w:tr>
      <w:tr w14:paraId="025605A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65" w:hRule="exact"/>
          <w:jc w:val="center"/>
        </w:trPr>
        <w:tc>
          <w:tcPr>
            <w:tcW w:w="1368" w:type="dxa"/>
            <w:vAlign w:val="center"/>
          </w:tcPr>
          <w:p w14:paraId="75ED1880">
            <w:pPr>
              <w:spacing w:line="700" w:lineRule="exact"/>
              <w:jc w:val="center"/>
              <w:rPr>
                <w:rFonts w:ascii="宋体" w:hAnsi="宋体" w:cs="FangSong_GB2312-Identity-H"/>
                <w:bCs/>
                <w:color w:val="auto"/>
                <w:szCs w:val="21"/>
                <w:highlight w:val="none"/>
              </w:rPr>
            </w:pPr>
          </w:p>
        </w:tc>
        <w:tc>
          <w:tcPr>
            <w:tcW w:w="1971" w:type="dxa"/>
            <w:vAlign w:val="center"/>
          </w:tcPr>
          <w:p w14:paraId="16BCD029">
            <w:pPr>
              <w:spacing w:line="700" w:lineRule="exact"/>
              <w:jc w:val="center"/>
              <w:rPr>
                <w:rFonts w:ascii="宋体" w:hAnsi="宋体" w:cs="FangSong_GB2312-Identity-H"/>
                <w:bCs/>
                <w:color w:val="auto"/>
                <w:szCs w:val="21"/>
                <w:highlight w:val="none"/>
              </w:rPr>
            </w:pPr>
          </w:p>
        </w:tc>
        <w:tc>
          <w:tcPr>
            <w:tcW w:w="2349" w:type="dxa"/>
            <w:vAlign w:val="center"/>
          </w:tcPr>
          <w:p w14:paraId="12E5BB1F">
            <w:pPr>
              <w:spacing w:line="700" w:lineRule="exact"/>
              <w:jc w:val="center"/>
              <w:rPr>
                <w:rFonts w:ascii="宋体" w:hAnsi="宋体" w:cs="FangSong_GB2312-Identity-H"/>
                <w:bCs/>
                <w:color w:val="auto"/>
                <w:szCs w:val="21"/>
                <w:highlight w:val="none"/>
              </w:rPr>
            </w:pPr>
          </w:p>
        </w:tc>
        <w:tc>
          <w:tcPr>
            <w:tcW w:w="2340" w:type="dxa"/>
            <w:vAlign w:val="center"/>
          </w:tcPr>
          <w:p w14:paraId="3190E5C0">
            <w:pPr>
              <w:spacing w:line="700" w:lineRule="exact"/>
              <w:jc w:val="center"/>
              <w:rPr>
                <w:rFonts w:ascii="宋体" w:hAnsi="宋体" w:cs="FangSong_GB2312-Identity-H"/>
                <w:bCs/>
                <w:color w:val="auto"/>
                <w:szCs w:val="21"/>
                <w:highlight w:val="none"/>
              </w:rPr>
            </w:pPr>
          </w:p>
        </w:tc>
        <w:tc>
          <w:tcPr>
            <w:tcW w:w="1620" w:type="dxa"/>
            <w:vAlign w:val="center"/>
          </w:tcPr>
          <w:p w14:paraId="06DA6C72">
            <w:pPr>
              <w:spacing w:line="700" w:lineRule="exact"/>
              <w:jc w:val="center"/>
              <w:rPr>
                <w:rFonts w:ascii="宋体" w:hAnsi="宋体" w:cs="FangSong_GB2312-Identity-H"/>
                <w:bCs/>
                <w:color w:val="auto"/>
                <w:szCs w:val="21"/>
                <w:highlight w:val="none"/>
              </w:rPr>
            </w:pPr>
          </w:p>
        </w:tc>
      </w:tr>
      <w:tr w14:paraId="5F4EF97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65" w:hRule="exact"/>
          <w:jc w:val="center"/>
        </w:trPr>
        <w:tc>
          <w:tcPr>
            <w:tcW w:w="1368" w:type="dxa"/>
            <w:vAlign w:val="center"/>
          </w:tcPr>
          <w:p w14:paraId="5DF324EF">
            <w:pPr>
              <w:spacing w:line="700" w:lineRule="exact"/>
              <w:jc w:val="center"/>
              <w:rPr>
                <w:rFonts w:ascii="宋体" w:hAnsi="宋体" w:cs="FangSong_GB2312-Identity-H"/>
                <w:bCs/>
                <w:color w:val="auto"/>
                <w:szCs w:val="21"/>
                <w:highlight w:val="none"/>
              </w:rPr>
            </w:pPr>
          </w:p>
        </w:tc>
        <w:tc>
          <w:tcPr>
            <w:tcW w:w="1971" w:type="dxa"/>
            <w:vAlign w:val="center"/>
          </w:tcPr>
          <w:p w14:paraId="7D607D70">
            <w:pPr>
              <w:spacing w:line="700" w:lineRule="exact"/>
              <w:jc w:val="center"/>
              <w:rPr>
                <w:rFonts w:ascii="宋体" w:hAnsi="宋体" w:cs="FangSong_GB2312-Identity-H"/>
                <w:bCs/>
                <w:color w:val="auto"/>
                <w:szCs w:val="21"/>
                <w:highlight w:val="none"/>
              </w:rPr>
            </w:pPr>
          </w:p>
        </w:tc>
        <w:tc>
          <w:tcPr>
            <w:tcW w:w="2349" w:type="dxa"/>
            <w:vAlign w:val="center"/>
          </w:tcPr>
          <w:p w14:paraId="060D9C08">
            <w:pPr>
              <w:spacing w:line="700" w:lineRule="exact"/>
              <w:jc w:val="center"/>
              <w:rPr>
                <w:rFonts w:ascii="宋体" w:hAnsi="宋体" w:cs="FangSong_GB2312-Identity-H"/>
                <w:bCs/>
                <w:color w:val="auto"/>
                <w:szCs w:val="21"/>
                <w:highlight w:val="none"/>
              </w:rPr>
            </w:pPr>
          </w:p>
        </w:tc>
        <w:tc>
          <w:tcPr>
            <w:tcW w:w="2340" w:type="dxa"/>
            <w:vAlign w:val="center"/>
          </w:tcPr>
          <w:p w14:paraId="20019060">
            <w:pPr>
              <w:spacing w:line="700" w:lineRule="exact"/>
              <w:jc w:val="center"/>
              <w:rPr>
                <w:rFonts w:ascii="宋体" w:hAnsi="宋体" w:cs="FangSong_GB2312-Identity-H"/>
                <w:bCs/>
                <w:color w:val="auto"/>
                <w:szCs w:val="21"/>
                <w:highlight w:val="none"/>
              </w:rPr>
            </w:pPr>
          </w:p>
        </w:tc>
        <w:tc>
          <w:tcPr>
            <w:tcW w:w="1620" w:type="dxa"/>
            <w:vAlign w:val="center"/>
          </w:tcPr>
          <w:p w14:paraId="4E4AF337">
            <w:pPr>
              <w:spacing w:line="700" w:lineRule="exact"/>
              <w:jc w:val="center"/>
              <w:rPr>
                <w:rFonts w:ascii="宋体" w:hAnsi="宋体" w:cs="FangSong_GB2312-Identity-H"/>
                <w:bCs/>
                <w:color w:val="auto"/>
                <w:szCs w:val="21"/>
                <w:highlight w:val="none"/>
              </w:rPr>
            </w:pPr>
          </w:p>
        </w:tc>
      </w:tr>
      <w:tr w14:paraId="083282A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65" w:hRule="exact"/>
          <w:jc w:val="center"/>
        </w:trPr>
        <w:tc>
          <w:tcPr>
            <w:tcW w:w="1368" w:type="dxa"/>
            <w:vAlign w:val="center"/>
          </w:tcPr>
          <w:p w14:paraId="4069C737">
            <w:pPr>
              <w:spacing w:line="700" w:lineRule="exact"/>
              <w:jc w:val="center"/>
              <w:rPr>
                <w:rFonts w:ascii="宋体" w:hAnsi="宋体" w:cs="FangSong_GB2312-Identity-H"/>
                <w:bCs/>
                <w:color w:val="auto"/>
                <w:szCs w:val="21"/>
                <w:highlight w:val="none"/>
              </w:rPr>
            </w:pPr>
          </w:p>
        </w:tc>
        <w:tc>
          <w:tcPr>
            <w:tcW w:w="1971" w:type="dxa"/>
            <w:vAlign w:val="center"/>
          </w:tcPr>
          <w:p w14:paraId="5DB40309">
            <w:pPr>
              <w:spacing w:line="700" w:lineRule="exact"/>
              <w:jc w:val="center"/>
              <w:rPr>
                <w:rFonts w:ascii="宋体" w:hAnsi="宋体" w:cs="FangSong_GB2312-Identity-H"/>
                <w:bCs/>
                <w:color w:val="auto"/>
                <w:szCs w:val="21"/>
                <w:highlight w:val="none"/>
              </w:rPr>
            </w:pPr>
          </w:p>
        </w:tc>
        <w:tc>
          <w:tcPr>
            <w:tcW w:w="2349" w:type="dxa"/>
            <w:vAlign w:val="center"/>
          </w:tcPr>
          <w:p w14:paraId="4CC703AC">
            <w:pPr>
              <w:spacing w:line="700" w:lineRule="exact"/>
              <w:jc w:val="center"/>
              <w:rPr>
                <w:rFonts w:ascii="宋体" w:hAnsi="宋体" w:cs="FangSong_GB2312-Identity-H"/>
                <w:bCs/>
                <w:color w:val="auto"/>
                <w:szCs w:val="21"/>
                <w:highlight w:val="none"/>
              </w:rPr>
            </w:pPr>
          </w:p>
        </w:tc>
        <w:tc>
          <w:tcPr>
            <w:tcW w:w="2340" w:type="dxa"/>
            <w:vAlign w:val="center"/>
          </w:tcPr>
          <w:p w14:paraId="3EC8A0F7">
            <w:pPr>
              <w:spacing w:line="700" w:lineRule="exact"/>
              <w:jc w:val="center"/>
              <w:rPr>
                <w:rFonts w:ascii="宋体" w:hAnsi="宋体" w:cs="FangSong_GB2312-Identity-H"/>
                <w:bCs/>
                <w:color w:val="auto"/>
                <w:szCs w:val="21"/>
                <w:highlight w:val="none"/>
              </w:rPr>
            </w:pPr>
          </w:p>
        </w:tc>
        <w:tc>
          <w:tcPr>
            <w:tcW w:w="1620" w:type="dxa"/>
            <w:vAlign w:val="center"/>
          </w:tcPr>
          <w:p w14:paraId="595953A3">
            <w:pPr>
              <w:spacing w:line="700" w:lineRule="exact"/>
              <w:jc w:val="center"/>
              <w:rPr>
                <w:rFonts w:ascii="宋体" w:hAnsi="宋体" w:cs="FangSong_GB2312-Identity-H"/>
                <w:bCs/>
                <w:color w:val="auto"/>
                <w:szCs w:val="21"/>
                <w:highlight w:val="none"/>
              </w:rPr>
            </w:pPr>
          </w:p>
        </w:tc>
      </w:tr>
      <w:tr w14:paraId="6F93539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65" w:hRule="exact"/>
          <w:jc w:val="center"/>
        </w:trPr>
        <w:tc>
          <w:tcPr>
            <w:tcW w:w="1368" w:type="dxa"/>
            <w:vAlign w:val="center"/>
          </w:tcPr>
          <w:p w14:paraId="6B474D98">
            <w:pPr>
              <w:spacing w:line="700" w:lineRule="exact"/>
              <w:jc w:val="center"/>
              <w:rPr>
                <w:rFonts w:ascii="宋体" w:hAnsi="宋体" w:cs="FangSong_GB2312-Identity-H"/>
                <w:bCs/>
                <w:color w:val="auto"/>
                <w:szCs w:val="21"/>
                <w:highlight w:val="none"/>
              </w:rPr>
            </w:pPr>
          </w:p>
        </w:tc>
        <w:tc>
          <w:tcPr>
            <w:tcW w:w="1971" w:type="dxa"/>
            <w:vAlign w:val="center"/>
          </w:tcPr>
          <w:p w14:paraId="5C418C52">
            <w:pPr>
              <w:spacing w:line="700" w:lineRule="exact"/>
              <w:jc w:val="center"/>
              <w:rPr>
                <w:rFonts w:ascii="宋体" w:hAnsi="宋体" w:cs="FangSong_GB2312-Identity-H"/>
                <w:bCs/>
                <w:color w:val="auto"/>
                <w:szCs w:val="21"/>
                <w:highlight w:val="none"/>
              </w:rPr>
            </w:pPr>
          </w:p>
        </w:tc>
        <w:tc>
          <w:tcPr>
            <w:tcW w:w="2349" w:type="dxa"/>
            <w:vAlign w:val="center"/>
          </w:tcPr>
          <w:p w14:paraId="3F084B96">
            <w:pPr>
              <w:spacing w:line="700" w:lineRule="exact"/>
              <w:jc w:val="center"/>
              <w:rPr>
                <w:rFonts w:ascii="宋体" w:hAnsi="宋体" w:cs="FangSong_GB2312-Identity-H"/>
                <w:bCs/>
                <w:color w:val="auto"/>
                <w:szCs w:val="21"/>
                <w:highlight w:val="none"/>
              </w:rPr>
            </w:pPr>
          </w:p>
        </w:tc>
        <w:tc>
          <w:tcPr>
            <w:tcW w:w="2340" w:type="dxa"/>
            <w:vAlign w:val="center"/>
          </w:tcPr>
          <w:p w14:paraId="5590B614">
            <w:pPr>
              <w:spacing w:line="700" w:lineRule="exact"/>
              <w:jc w:val="center"/>
              <w:rPr>
                <w:rFonts w:ascii="宋体" w:hAnsi="宋体" w:cs="FangSong_GB2312-Identity-H"/>
                <w:bCs/>
                <w:color w:val="auto"/>
                <w:szCs w:val="21"/>
                <w:highlight w:val="none"/>
              </w:rPr>
            </w:pPr>
          </w:p>
        </w:tc>
        <w:tc>
          <w:tcPr>
            <w:tcW w:w="1620" w:type="dxa"/>
            <w:vAlign w:val="center"/>
          </w:tcPr>
          <w:p w14:paraId="4E6296A2">
            <w:pPr>
              <w:spacing w:line="700" w:lineRule="exact"/>
              <w:jc w:val="center"/>
              <w:rPr>
                <w:rFonts w:ascii="宋体" w:hAnsi="宋体" w:cs="FangSong_GB2312-Identity-H"/>
                <w:bCs/>
                <w:color w:val="auto"/>
                <w:szCs w:val="21"/>
                <w:highlight w:val="none"/>
              </w:rPr>
            </w:pPr>
          </w:p>
        </w:tc>
      </w:tr>
      <w:tr w14:paraId="72E1BF2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765" w:hRule="exact"/>
          <w:jc w:val="center"/>
        </w:trPr>
        <w:tc>
          <w:tcPr>
            <w:tcW w:w="1368" w:type="dxa"/>
            <w:vAlign w:val="center"/>
          </w:tcPr>
          <w:p w14:paraId="0C73F806">
            <w:pPr>
              <w:spacing w:line="700" w:lineRule="exact"/>
              <w:jc w:val="center"/>
              <w:rPr>
                <w:rFonts w:ascii="宋体" w:hAnsi="宋体" w:cs="FangSong_GB2312-Identity-H"/>
                <w:bCs/>
                <w:color w:val="auto"/>
                <w:szCs w:val="21"/>
                <w:highlight w:val="none"/>
              </w:rPr>
            </w:pPr>
          </w:p>
        </w:tc>
        <w:tc>
          <w:tcPr>
            <w:tcW w:w="1971" w:type="dxa"/>
            <w:vAlign w:val="center"/>
          </w:tcPr>
          <w:p w14:paraId="4BD41D42">
            <w:pPr>
              <w:spacing w:line="700" w:lineRule="exact"/>
              <w:jc w:val="center"/>
              <w:rPr>
                <w:rFonts w:ascii="宋体" w:hAnsi="宋体" w:cs="FangSong_GB2312-Identity-H"/>
                <w:bCs/>
                <w:color w:val="auto"/>
                <w:szCs w:val="21"/>
                <w:highlight w:val="none"/>
              </w:rPr>
            </w:pPr>
          </w:p>
        </w:tc>
        <w:tc>
          <w:tcPr>
            <w:tcW w:w="2349" w:type="dxa"/>
            <w:vAlign w:val="center"/>
          </w:tcPr>
          <w:p w14:paraId="3F5367E1">
            <w:pPr>
              <w:spacing w:line="700" w:lineRule="exact"/>
              <w:jc w:val="center"/>
              <w:rPr>
                <w:rFonts w:ascii="宋体" w:hAnsi="宋体" w:cs="FangSong_GB2312-Identity-H"/>
                <w:bCs/>
                <w:color w:val="auto"/>
                <w:szCs w:val="21"/>
                <w:highlight w:val="none"/>
              </w:rPr>
            </w:pPr>
          </w:p>
        </w:tc>
        <w:tc>
          <w:tcPr>
            <w:tcW w:w="2340" w:type="dxa"/>
            <w:vAlign w:val="center"/>
          </w:tcPr>
          <w:p w14:paraId="72D1B612">
            <w:pPr>
              <w:spacing w:line="700" w:lineRule="exact"/>
              <w:jc w:val="center"/>
              <w:rPr>
                <w:rFonts w:ascii="宋体" w:hAnsi="宋体" w:cs="FangSong_GB2312-Identity-H"/>
                <w:bCs/>
                <w:color w:val="auto"/>
                <w:szCs w:val="21"/>
                <w:highlight w:val="none"/>
              </w:rPr>
            </w:pPr>
          </w:p>
        </w:tc>
        <w:tc>
          <w:tcPr>
            <w:tcW w:w="1620" w:type="dxa"/>
            <w:vAlign w:val="center"/>
          </w:tcPr>
          <w:p w14:paraId="0B435F81">
            <w:pPr>
              <w:spacing w:line="700" w:lineRule="exact"/>
              <w:jc w:val="center"/>
              <w:rPr>
                <w:rFonts w:ascii="宋体" w:hAnsi="宋体" w:cs="FangSong_GB2312-Identity-H"/>
                <w:bCs/>
                <w:color w:val="auto"/>
                <w:szCs w:val="21"/>
                <w:highlight w:val="none"/>
              </w:rPr>
            </w:pPr>
          </w:p>
        </w:tc>
      </w:tr>
    </w:tbl>
    <w:p w14:paraId="68E44A89">
      <w:pPr>
        <w:spacing w:line="700" w:lineRule="exact"/>
        <w:rPr>
          <w:rFonts w:ascii="宋体" w:hAnsi="宋体" w:cs="FangSong_GB2312-Identity-H"/>
          <w:bCs/>
          <w:color w:val="auto"/>
          <w:szCs w:val="21"/>
          <w:highlight w:val="none"/>
        </w:rPr>
      </w:pPr>
      <w:r>
        <w:rPr>
          <w:rFonts w:hint="eastAsia" w:ascii="宋体" w:hAnsi="宋体" w:cs="FangSong_GB2312-Identity-H"/>
          <w:color w:val="auto"/>
          <w:szCs w:val="21"/>
          <w:highlight w:val="none"/>
        </w:rPr>
        <w:t>我方承诺：除上表中的偏离外，完全响应招标文件的其他条款。</w:t>
      </w:r>
    </w:p>
    <w:p w14:paraId="078BE103">
      <w:pPr>
        <w:spacing w:line="500" w:lineRule="exact"/>
        <w:jc w:val="left"/>
        <w:rPr>
          <w:rFonts w:ascii="宋体" w:hAnsi="宋体" w:cs="FangSong_GB2312-Identity-H"/>
          <w:color w:val="auto"/>
          <w:szCs w:val="21"/>
          <w:highlight w:val="none"/>
        </w:rPr>
      </w:pPr>
    </w:p>
    <w:p w14:paraId="3881D442">
      <w:pPr>
        <w:spacing w:line="700" w:lineRule="exact"/>
        <w:rPr>
          <w:rFonts w:ascii="宋体" w:hAnsi="宋体" w:cs="SimSun-Identity-H"/>
          <w:color w:val="auto"/>
          <w:sz w:val="24"/>
          <w:highlight w:val="none"/>
        </w:rPr>
      </w:pPr>
      <w:r>
        <w:rPr>
          <w:rFonts w:hint="eastAsia" w:ascii="宋体" w:hAnsi="宋体" w:cs="SimSun-Identity-H"/>
          <w:color w:val="auto"/>
          <w:sz w:val="24"/>
          <w:highlight w:val="none"/>
        </w:rPr>
        <w:t>投标人</w:t>
      </w:r>
      <w:r>
        <w:rPr>
          <w:rFonts w:ascii="宋体" w:hAnsi="宋体" w:cs="SimSun-Identity-H"/>
          <w:color w:val="auto"/>
          <w:sz w:val="24"/>
          <w:highlight w:val="none"/>
        </w:rPr>
        <w:t>(</w:t>
      </w:r>
      <w:r>
        <w:rPr>
          <w:rFonts w:hint="eastAsia" w:ascii="宋体" w:hAnsi="宋体" w:cs="SimSun-Identity-H"/>
          <w:color w:val="auto"/>
          <w:sz w:val="24"/>
          <w:highlight w:val="none"/>
        </w:rPr>
        <w:t>公章</w:t>
      </w:r>
      <w:r>
        <w:rPr>
          <w:rFonts w:ascii="宋体" w:hAnsi="宋体" w:cs="SimSun-Identity-H"/>
          <w:color w:val="auto"/>
          <w:sz w:val="24"/>
          <w:highlight w:val="none"/>
        </w:rPr>
        <w:t xml:space="preserve">) </w:t>
      </w:r>
      <w:r>
        <w:rPr>
          <w:rFonts w:hint="eastAsia" w:ascii="宋体" w:hAnsi="宋体" w:cs="SimSun-Identity-H"/>
          <w:color w:val="auto"/>
          <w:sz w:val="24"/>
          <w:highlight w:val="none"/>
        </w:rPr>
        <w:t>：</w:t>
      </w:r>
      <w:r>
        <w:rPr>
          <w:rFonts w:ascii="宋体" w:hAnsi="宋体" w:cs="SimSun-Identity-H"/>
          <w:color w:val="auto"/>
          <w:sz w:val="24"/>
          <w:highlight w:val="none"/>
        </w:rPr>
        <w:t xml:space="preserve">                          </w:t>
      </w:r>
    </w:p>
    <w:p w14:paraId="596526E9">
      <w:pPr>
        <w:spacing w:line="500" w:lineRule="exact"/>
        <w:jc w:val="left"/>
        <w:rPr>
          <w:rFonts w:ascii="宋体" w:cs="FangSong_GB2312-Identity-H"/>
          <w:color w:val="auto"/>
          <w:sz w:val="24"/>
          <w:highlight w:val="none"/>
          <w:u w:val="single"/>
        </w:rPr>
      </w:pPr>
      <w:r>
        <w:rPr>
          <w:rFonts w:hint="eastAsia" w:ascii="宋体" w:hAnsi="宋体" w:cs="FangSong_GB2312-Identity-H"/>
          <w:color w:val="auto"/>
          <w:sz w:val="24"/>
          <w:highlight w:val="none"/>
        </w:rPr>
        <w:t>法定代表人或授权委托人（签字或盖章）：</w:t>
      </w:r>
      <w:r>
        <w:rPr>
          <w:rFonts w:ascii="宋体" w:hAnsi="宋体" w:cs="FangSong_GB2312-Identity-H"/>
          <w:color w:val="auto"/>
          <w:sz w:val="24"/>
          <w:highlight w:val="none"/>
          <w:u w:val="single"/>
        </w:rPr>
        <w:t xml:space="preserve">                       </w:t>
      </w:r>
    </w:p>
    <w:p w14:paraId="632789FE">
      <w:pPr>
        <w:spacing w:line="500" w:lineRule="exact"/>
        <w:jc w:val="left"/>
        <w:rPr>
          <w:rFonts w:ascii="宋体" w:cs="FangSong_GB2312-Identity-H"/>
          <w:b/>
          <w:bCs/>
          <w:color w:val="auto"/>
          <w:sz w:val="24"/>
          <w:highlight w:val="none"/>
        </w:rPr>
      </w:pPr>
      <w:r>
        <w:rPr>
          <w:rFonts w:hint="eastAsia" w:ascii="宋体" w:hAnsi="宋体" w:cs="FangSong_GB2312-Identity-H"/>
          <w:color w:val="auto"/>
          <w:sz w:val="24"/>
          <w:highlight w:val="none"/>
        </w:rPr>
        <w:t>日期：</w:t>
      </w:r>
      <w:r>
        <w:rPr>
          <w:rFonts w:ascii="宋体" w:hAnsi="宋体" w:cs="FangSong_GB2312-Identity-H"/>
          <w:color w:val="auto"/>
          <w:sz w:val="24"/>
          <w:highlight w:val="none"/>
        </w:rPr>
        <w:t xml:space="preserve"> </w:t>
      </w:r>
      <w:r>
        <w:rPr>
          <w:rFonts w:ascii="宋体" w:hAnsi="宋体" w:cs="FangSong_GB2312-Identity-H"/>
          <w:color w:val="auto"/>
          <w:sz w:val="24"/>
          <w:highlight w:val="none"/>
          <w:u w:val="single"/>
        </w:rPr>
        <w:t xml:space="preserve">         </w:t>
      </w:r>
      <w:r>
        <w:rPr>
          <w:rFonts w:hint="eastAsia" w:ascii="宋体" w:hAnsi="宋体" w:cs="FangSong_GB2312-Identity-H"/>
          <w:color w:val="auto"/>
          <w:sz w:val="24"/>
          <w:highlight w:val="none"/>
        </w:rPr>
        <w:t>年</w:t>
      </w:r>
      <w:r>
        <w:rPr>
          <w:rFonts w:ascii="宋体" w:hAnsi="宋体" w:cs="FangSong_GB2312-Identity-H"/>
          <w:color w:val="auto"/>
          <w:sz w:val="24"/>
          <w:highlight w:val="none"/>
          <w:u w:val="single"/>
        </w:rPr>
        <w:t xml:space="preserve">        </w:t>
      </w:r>
      <w:r>
        <w:rPr>
          <w:rFonts w:hint="eastAsia" w:ascii="宋体" w:hAnsi="宋体" w:cs="FangSong_GB2312-Identity-H"/>
          <w:color w:val="auto"/>
          <w:sz w:val="24"/>
          <w:highlight w:val="none"/>
        </w:rPr>
        <w:t>月</w:t>
      </w:r>
      <w:r>
        <w:rPr>
          <w:rFonts w:ascii="宋体" w:hAnsi="宋体" w:cs="FangSong_GB2312-Identity-H"/>
          <w:color w:val="auto"/>
          <w:sz w:val="24"/>
          <w:highlight w:val="none"/>
          <w:u w:val="single"/>
        </w:rPr>
        <w:t xml:space="preserve">         </w:t>
      </w:r>
      <w:r>
        <w:rPr>
          <w:rFonts w:hint="eastAsia" w:ascii="宋体" w:hAnsi="宋体" w:cs="FangSong_GB2312-Identity-H"/>
          <w:color w:val="auto"/>
          <w:sz w:val="24"/>
          <w:highlight w:val="none"/>
        </w:rPr>
        <w:t>日</w:t>
      </w:r>
    </w:p>
    <w:p w14:paraId="463E26E2">
      <w:pPr>
        <w:spacing w:line="700" w:lineRule="exact"/>
        <w:jc w:val="center"/>
        <w:rPr>
          <w:rFonts w:ascii="宋体" w:hAnsi="宋体" w:cs="FangSong_GB2312-Identity-H"/>
          <w:b/>
          <w:bCs/>
          <w:color w:val="auto"/>
          <w:sz w:val="44"/>
          <w:szCs w:val="44"/>
          <w:highlight w:val="none"/>
        </w:rPr>
      </w:pPr>
    </w:p>
    <w:p w14:paraId="0F006AFC">
      <w:pPr>
        <w:jc w:val="left"/>
        <w:rPr>
          <w:rFonts w:hint="eastAsia" w:ascii="宋体" w:hAnsi="宋体"/>
          <w:color w:val="auto"/>
          <w:sz w:val="24"/>
          <w:highlight w:val="none"/>
          <w:lang w:val="en-US" w:eastAsia="zh-CN"/>
        </w:rPr>
      </w:pPr>
      <w:r>
        <w:rPr>
          <w:rFonts w:hint="eastAsia" w:ascii="宋体" w:hAnsi="宋体"/>
          <w:color w:val="auto"/>
          <w:sz w:val="24"/>
          <w:highlight w:val="none"/>
        </w:rPr>
        <w:br w:type="page"/>
      </w:r>
      <w:r>
        <w:rPr>
          <w:rFonts w:hint="eastAsia" w:ascii="宋体" w:hAnsi="宋体"/>
          <w:color w:val="auto"/>
          <w:sz w:val="24"/>
          <w:highlight w:val="none"/>
          <w:lang w:val="en-US" w:eastAsia="zh-CN"/>
        </w:rPr>
        <w:t>格式七</w:t>
      </w:r>
    </w:p>
    <w:p w14:paraId="2E78A5DD">
      <w:pPr>
        <w:jc w:val="center"/>
        <w:rPr>
          <w:rFonts w:hint="eastAsia" w:ascii="宋体" w:hAnsi="宋体"/>
          <w:color w:val="auto"/>
          <w:sz w:val="32"/>
          <w:szCs w:val="32"/>
          <w:highlight w:val="none"/>
          <w:lang w:val="en-US" w:eastAsia="zh-CN"/>
        </w:rPr>
      </w:pPr>
      <w:r>
        <w:rPr>
          <w:rFonts w:hint="eastAsia" w:ascii="宋体" w:hAnsi="宋体"/>
          <w:color w:val="auto"/>
          <w:sz w:val="32"/>
          <w:szCs w:val="32"/>
          <w:highlight w:val="none"/>
          <w:lang w:val="en-US" w:eastAsia="zh-CN"/>
        </w:rPr>
        <w:t>后续服务承诺函</w:t>
      </w:r>
    </w:p>
    <w:p w14:paraId="4D2401CF">
      <w:pPr>
        <w:jc w:val="left"/>
        <w:rPr>
          <w:rFonts w:hint="eastAsia" w:ascii="宋体" w:hAnsi="宋体"/>
          <w:color w:val="auto"/>
          <w:sz w:val="24"/>
          <w:highlight w:val="none"/>
          <w:lang w:val="en-US" w:eastAsia="zh-CN"/>
        </w:rPr>
      </w:pPr>
    </w:p>
    <w:p w14:paraId="59EE21FD">
      <w:pPr>
        <w:jc w:val="left"/>
        <w:rPr>
          <w:rFonts w:hint="default" w:ascii="宋体" w:hAnsi="宋体"/>
          <w:color w:val="auto"/>
          <w:sz w:val="24"/>
          <w:highlight w:val="none"/>
          <w:u w:val="single"/>
          <w:lang w:val="en-US" w:eastAsia="zh-CN"/>
        </w:rPr>
      </w:pPr>
      <w:r>
        <w:rPr>
          <w:rFonts w:hint="eastAsia" w:ascii="宋体" w:hAnsi="宋体"/>
          <w:color w:val="auto"/>
          <w:sz w:val="24"/>
          <w:highlight w:val="none"/>
          <w:lang w:val="en-US" w:eastAsia="zh-CN"/>
        </w:rPr>
        <w:t>致采购人：</w:t>
      </w:r>
      <w:r>
        <w:rPr>
          <w:rFonts w:hint="eastAsia" w:ascii="宋体" w:hAnsi="宋体"/>
          <w:color w:val="auto"/>
          <w:sz w:val="24"/>
          <w:highlight w:val="none"/>
          <w:u w:val="single"/>
          <w:lang w:val="en-US" w:eastAsia="zh-CN"/>
        </w:rPr>
        <w:t xml:space="preserve">                   </w:t>
      </w:r>
    </w:p>
    <w:p w14:paraId="5B6A9C74">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color w:val="auto"/>
          <w:sz w:val="24"/>
          <w:highlight w:val="none"/>
          <w:lang w:eastAsia="zh-CN"/>
        </w:rPr>
      </w:pPr>
    </w:p>
    <w:p w14:paraId="1B6977B3">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color w:val="auto"/>
          <w:sz w:val="24"/>
          <w:highlight w:val="none"/>
        </w:rPr>
      </w:pPr>
      <w:r>
        <w:rPr>
          <w:rFonts w:hint="eastAsia" w:ascii="宋体" w:hAnsi="宋体"/>
          <w:color w:val="auto"/>
          <w:sz w:val="24"/>
          <w:highlight w:val="none"/>
          <w:lang w:eastAsia="zh-CN"/>
        </w:rPr>
        <w:t>我</w:t>
      </w:r>
      <w:r>
        <w:rPr>
          <w:rFonts w:hint="eastAsia" w:ascii="宋体" w:hAnsi="宋体"/>
          <w:color w:val="auto"/>
          <w:sz w:val="24"/>
          <w:highlight w:val="none"/>
          <w:lang w:val="en-US" w:eastAsia="zh-CN"/>
        </w:rPr>
        <w:t>公司承诺若中标后本项目</w:t>
      </w:r>
      <w:r>
        <w:rPr>
          <w:rFonts w:hint="eastAsia" w:ascii="宋体" w:hAnsi="宋体"/>
          <w:color w:val="auto"/>
          <w:sz w:val="24"/>
          <w:highlight w:val="none"/>
        </w:rPr>
        <w:t>后续服务期至2035年，我</w:t>
      </w:r>
      <w:r>
        <w:rPr>
          <w:rFonts w:hint="eastAsia" w:ascii="宋体" w:hAnsi="宋体"/>
          <w:color w:val="auto"/>
          <w:sz w:val="24"/>
          <w:highlight w:val="none"/>
          <w:lang w:val="en-US" w:eastAsia="zh-CN"/>
        </w:rPr>
        <w:t>公司</w:t>
      </w:r>
      <w:r>
        <w:rPr>
          <w:rFonts w:hint="eastAsia" w:ascii="宋体" w:hAnsi="宋体"/>
          <w:color w:val="auto"/>
          <w:sz w:val="24"/>
          <w:highlight w:val="none"/>
        </w:rPr>
        <w:t>将为盐城市大丰区综合立体交通网规划编制项目的实施提供全方位支持。建立动态跟踪机制，定期对规划实施情况进行评估。收集规划实施过程中的实际数据，如交通基础设施建设进度、交通流量变化、物流运营成本等，与规划目标进行对比分析，找出偏差和存在的问题。根据评估结果，及时调整和完善规划内容，确保规划与实际发展情况保持一致。​</w:t>
      </w:r>
    </w:p>
    <w:p w14:paraId="4C706C13">
      <w:pPr>
        <w:jc w:val="left"/>
        <w:rPr>
          <w:rFonts w:hint="eastAsia" w:ascii="宋体" w:hAnsi="宋体"/>
          <w:color w:val="auto"/>
          <w:sz w:val="24"/>
          <w:highlight w:val="none"/>
        </w:rPr>
      </w:pPr>
    </w:p>
    <w:p w14:paraId="00D0B0D3">
      <w:pPr>
        <w:spacing w:line="700" w:lineRule="exact"/>
        <w:rPr>
          <w:rFonts w:ascii="宋体" w:hAnsi="宋体" w:cs="SimSun-Identity-H"/>
          <w:color w:val="auto"/>
          <w:sz w:val="24"/>
          <w:highlight w:val="none"/>
        </w:rPr>
      </w:pPr>
      <w:r>
        <w:rPr>
          <w:rFonts w:hint="eastAsia" w:ascii="宋体" w:hAnsi="宋体" w:cs="SimSun-Identity-H"/>
          <w:color w:val="auto"/>
          <w:sz w:val="24"/>
          <w:highlight w:val="none"/>
        </w:rPr>
        <w:t>投标人</w:t>
      </w:r>
      <w:r>
        <w:rPr>
          <w:rFonts w:ascii="宋体" w:hAnsi="宋体" w:cs="SimSun-Identity-H"/>
          <w:color w:val="auto"/>
          <w:sz w:val="24"/>
          <w:highlight w:val="none"/>
        </w:rPr>
        <w:t>(</w:t>
      </w:r>
      <w:r>
        <w:rPr>
          <w:rFonts w:hint="eastAsia" w:ascii="宋体" w:hAnsi="宋体" w:cs="SimSun-Identity-H"/>
          <w:color w:val="auto"/>
          <w:sz w:val="24"/>
          <w:highlight w:val="none"/>
        </w:rPr>
        <w:t>公章</w:t>
      </w:r>
      <w:r>
        <w:rPr>
          <w:rFonts w:ascii="宋体" w:hAnsi="宋体" w:cs="SimSun-Identity-H"/>
          <w:color w:val="auto"/>
          <w:sz w:val="24"/>
          <w:highlight w:val="none"/>
        </w:rPr>
        <w:t xml:space="preserve">) </w:t>
      </w:r>
      <w:r>
        <w:rPr>
          <w:rFonts w:hint="eastAsia" w:ascii="宋体" w:hAnsi="宋体" w:cs="SimSun-Identity-H"/>
          <w:color w:val="auto"/>
          <w:sz w:val="24"/>
          <w:highlight w:val="none"/>
        </w:rPr>
        <w:t>：</w:t>
      </w:r>
      <w:r>
        <w:rPr>
          <w:rFonts w:ascii="宋体" w:hAnsi="宋体" w:cs="SimSun-Identity-H"/>
          <w:color w:val="auto"/>
          <w:sz w:val="24"/>
          <w:highlight w:val="none"/>
        </w:rPr>
        <w:t xml:space="preserve">                          </w:t>
      </w:r>
    </w:p>
    <w:p w14:paraId="603265DB">
      <w:pPr>
        <w:spacing w:line="500" w:lineRule="exact"/>
        <w:jc w:val="left"/>
        <w:rPr>
          <w:rFonts w:ascii="宋体" w:cs="FangSong_GB2312-Identity-H"/>
          <w:color w:val="auto"/>
          <w:sz w:val="24"/>
          <w:highlight w:val="none"/>
          <w:u w:val="single"/>
        </w:rPr>
      </w:pPr>
      <w:r>
        <w:rPr>
          <w:rFonts w:hint="eastAsia" w:ascii="宋体" w:hAnsi="宋体" w:cs="FangSong_GB2312-Identity-H"/>
          <w:color w:val="auto"/>
          <w:sz w:val="24"/>
          <w:highlight w:val="none"/>
        </w:rPr>
        <w:t>法定代表人或授权委托人（签字或盖章）：</w:t>
      </w:r>
      <w:r>
        <w:rPr>
          <w:rFonts w:ascii="宋体" w:hAnsi="宋体" w:cs="FangSong_GB2312-Identity-H"/>
          <w:color w:val="auto"/>
          <w:sz w:val="24"/>
          <w:highlight w:val="none"/>
          <w:u w:val="single"/>
        </w:rPr>
        <w:t xml:space="preserve">                       </w:t>
      </w:r>
    </w:p>
    <w:p w14:paraId="1B4958E2">
      <w:pPr>
        <w:spacing w:line="500" w:lineRule="exact"/>
        <w:jc w:val="left"/>
        <w:rPr>
          <w:rFonts w:ascii="宋体" w:cs="FangSong_GB2312-Identity-H"/>
          <w:b/>
          <w:bCs/>
          <w:color w:val="auto"/>
          <w:sz w:val="24"/>
          <w:highlight w:val="none"/>
        </w:rPr>
      </w:pPr>
      <w:r>
        <w:rPr>
          <w:rFonts w:hint="eastAsia" w:ascii="宋体" w:hAnsi="宋体" w:cs="FangSong_GB2312-Identity-H"/>
          <w:color w:val="auto"/>
          <w:sz w:val="24"/>
          <w:highlight w:val="none"/>
        </w:rPr>
        <w:t>日期：</w:t>
      </w:r>
      <w:r>
        <w:rPr>
          <w:rFonts w:ascii="宋体" w:hAnsi="宋体" w:cs="FangSong_GB2312-Identity-H"/>
          <w:color w:val="auto"/>
          <w:sz w:val="24"/>
          <w:highlight w:val="none"/>
        </w:rPr>
        <w:t xml:space="preserve"> </w:t>
      </w:r>
      <w:r>
        <w:rPr>
          <w:rFonts w:ascii="宋体" w:hAnsi="宋体" w:cs="FangSong_GB2312-Identity-H"/>
          <w:color w:val="auto"/>
          <w:sz w:val="24"/>
          <w:highlight w:val="none"/>
          <w:u w:val="single"/>
        </w:rPr>
        <w:t xml:space="preserve">         </w:t>
      </w:r>
      <w:r>
        <w:rPr>
          <w:rFonts w:hint="eastAsia" w:ascii="宋体" w:hAnsi="宋体" w:cs="FangSong_GB2312-Identity-H"/>
          <w:color w:val="auto"/>
          <w:sz w:val="24"/>
          <w:highlight w:val="none"/>
        </w:rPr>
        <w:t>年</w:t>
      </w:r>
      <w:r>
        <w:rPr>
          <w:rFonts w:ascii="宋体" w:hAnsi="宋体" w:cs="FangSong_GB2312-Identity-H"/>
          <w:color w:val="auto"/>
          <w:sz w:val="24"/>
          <w:highlight w:val="none"/>
          <w:u w:val="single"/>
        </w:rPr>
        <w:t xml:space="preserve">        </w:t>
      </w:r>
      <w:r>
        <w:rPr>
          <w:rFonts w:hint="eastAsia" w:ascii="宋体" w:hAnsi="宋体" w:cs="FangSong_GB2312-Identity-H"/>
          <w:color w:val="auto"/>
          <w:sz w:val="24"/>
          <w:highlight w:val="none"/>
        </w:rPr>
        <w:t>月</w:t>
      </w:r>
      <w:r>
        <w:rPr>
          <w:rFonts w:ascii="宋体" w:hAnsi="宋体" w:cs="FangSong_GB2312-Identity-H"/>
          <w:color w:val="auto"/>
          <w:sz w:val="24"/>
          <w:highlight w:val="none"/>
          <w:u w:val="single"/>
        </w:rPr>
        <w:t xml:space="preserve">         </w:t>
      </w:r>
      <w:r>
        <w:rPr>
          <w:rFonts w:hint="eastAsia" w:ascii="宋体" w:hAnsi="宋体" w:cs="FangSong_GB2312-Identity-H"/>
          <w:color w:val="auto"/>
          <w:sz w:val="24"/>
          <w:highlight w:val="none"/>
        </w:rPr>
        <w:t>日</w:t>
      </w:r>
    </w:p>
    <w:p w14:paraId="6FACDA15">
      <w:pPr>
        <w:jc w:val="left"/>
        <w:rPr>
          <w:rFonts w:ascii="宋体" w:hAnsi="宋体"/>
          <w:color w:val="auto"/>
          <w:sz w:val="24"/>
          <w:highlight w:val="none"/>
        </w:rPr>
      </w:pPr>
      <w:r>
        <w:rPr>
          <w:rFonts w:hint="eastAsia" w:ascii="宋体" w:hAnsi="宋体"/>
          <w:color w:val="auto"/>
          <w:sz w:val="24"/>
          <w:highlight w:val="none"/>
        </w:rPr>
        <w:br w:type="page"/>
      </w:r>
      <w:r>
        <w:rPr>
          <w:rFonts w:hint="eastAsia" w:ascii="宋体" w:hAnsi="宋体"/>
          <w:color w:val="auto"/>
          <w:sz w:val="24"/>
          <w:highlight w:val="none"/>
        </w:rPr>
        <w:t>格式</w:t>
      </w:r>
      <w:r>
        <w:rPr>
          <w:rFonts w:hint="eastAsia" w:ascii="宋体" w:hAnsi="宋体"/>
          <w:color w:val="auto"/>
          <w:sz w:val="24"/>
          <w:highlight w:val="none"/>
          <w:lang w:val="en-US" w:eastAsia="zh-CN"/>
        </w:rPr>
        <w:t>八</w:t>
      </w:r>
      <w:r>
        <w:rPr>
          <w:rFonts w:hint="eastAsia" w:ascii="宋体" w:hAnsi="宋体"/>
          <w:color w:val="auto"/>
          <w:sz w:val="24"/>
          <w:highlight w:val="none"/>
        </w:rPr>
        <w:t>：</w:t>
      </w:r>
    </w:p>
    <w:p w14:paraId="6EEC674D">
      <w:pPr>
        <w:spacing w:before="120" w:after="120" w:line="460" w:lineRule="exact"/>
        <w:jc w:val="center"/>
        <w:outlineLvl w:val="0"/>
        <w:rPr>
          <w:rFonts w:ascii="宋体" w:hAnsi="Courier New"/>
          <w:b/>
          <w:color w:val="auto"/>
          <w:sz w:val="32"/>
          <w:szCs w:val="32"/>
          <w:highlight w:val="none"/>
        </w:rPr>
      </w:pPr>
      <w:r>
        <w:rPr>
          <w:rFonts w:ascii="宋体" w:hAnsi="Courier New"/>
          <w:b/>
          <w:color w:val="auto"/>
          <w:sz w:val="32"/>
          <w:szCs w:val="32"/>
          <w:highlight w:val="none"/>
        </w:rPr>
        <w:t>中小企业声明函（服务）</w:t>
      </w:r>
      <w:r>
        <w:rPr>
          <w:rFonts w:hint="eastAsia" w:ascii="宋体" w:hAnsi="Courier New"/>
          <w:b/>
          <w:color w:val="auto"/>
          <w:sz w:val="32"/>
          <w:szCs w:val="32"/>
          <w:highlight w:val="none"/>
        </w:rPr>
        <w:t>（如有）</w:t>
      </w:r>
    </w:p>
    <w:p w14:paraId="70A8FA24">
      <w:pPr>
        <w:widowControl/>
        <w:spacing w:line="660" w:lineRule="exact"/>
        <w:ind w:firstLine="480"/>
        <w:jc w:val="left"/>
        <w:rPr>
          <w:rFonts w:ascii="宋体" w:hAnsi="宋体"/>
          <w:color w:val="auto"/>
          <w:szCs w:val="21"/>
          <w:highlight w:val="none"/>
        </w:rPr>
      </w:pPr>
      <w:r>
        <w:rPr>
          <w:rFonts w:ascii="宋体" w:hAnsi="宋体"/>
          <w:color w:val="auto"/>
          <w:szCs w:val="21"/>
          <w:highlight w:val="none"/>
        </w:rPr>
        <w:t>本公司（联合体）郑重声明，根据《政府采购促进中小企业发展管理办法》（财库﹝2020﹞46 号）的规定，本公司（联合体）参加</w:t>
      </w:r>
      <w:r>
        <w:rPr>
          <w:rFonts w:hint="eastAsia" w:ascii="宋体" w:hAnsi="宋体" w:cs="宋体"/>
          <w:b/>
          <w:bCs/>
          <w:color w:val="auto"/>
          <w:szCs w:val="21"/>
          <w:highlight w:val="none"/>
          <w:u w:val="single"/>
        </w:rPr>
        <w:t>盐城市大丰区交通运输局</w:t>
      </w:r>
      <w:r>
        <w:rPr>
          <w:rFonts w:ascii="宋体" w:hAnsi="宋体"/>
          <w:color w:val="auto"/>
          <w:szCs w:val="21"/>
          <w:highlight w:val="none"/>
        </w:rPr>
        <w:t>的</w:t>
      </w:r>
      <w:r>
        <w:rPr>
          <w:rFonts w:hint="eastAsia" w:ascii="宋体" w:hAnsi="宋体" w:cs="宋体"/>
          <w:b/>
          <w:bCs/>
          <w:color w:val="auto"/>
          <w:szCs w:val="21"/>
          <w:highlight w:val="none"/>
          <w:u w:val="single"/>
        </w:rPr>
        <w:t>盐城市大丰区综合立体交通网规划编制项目</w:t>
      </w:r>
      <w:r>
        <w:rPr>
          <w:rFonts w:ascii="宋体" w:hAnsi="宋体"/>
          <w:color w:val="auto"/>
          <w:szCs w:val="21"/>
          <w:highlight w:val="none"/>
        </w:rPr>
        <w:t>采购活动，服务全部由符合政策要求的中小企业承接。相关企业（含联合体中的中小企业、签订分包意向协议的中小企业）的具体情况如下：</w:t>
      </w:r>
    </w:p>
    <w:p w14:paraId="3C9E8BD7">
      <w:pPr>
        <w:widowControl/>
        <w:spacing w:line="660" w:lineRule="exact"/>
        <w:ind w:firstLine="482"/>
        <w:jc w:val="left"/>
        <w:rPr>
          <w:rFonts w:ascii="宋体" w:hAnsi="宋体"/>
          <w:color w:val="auto"/>
          <w:szCs w:val="21"/>
          <w:highlight w:val="none"/>
        </w:rPr>
      </w:pPr>
      <w:r>
        <w:rPr>
          <w:rFonts w:hint="eastAsia" w:ascii="宋体" w:hAnsi="宋体" w:cs="宋体"/>
          <w:b/>
          <w:bCs/>
          <w:color w:val="auto"/>
          <w:szCs w:val="21"/>
          <w:highlight w:val="none"/>
          <w:u w:val="single"/>
        </w:rPr>
        <w:t>盐城市大丰区综合立体交通网规划编制项目</w:t>
      </w:r>
      <w:r>
        <w:rPr>
          <w:rFonts w:ascii="宋体" w:hAnsi="宋体"/>
          <w:color w:val="auto"/>
          <w:szCs w:val="21"/>
          <w:highlight w:val="none"/>
        </w:rPr>
        <w:t>，属于</w:t>
      </w:r>
      <w:r>
        <w:rPr>
          <w:rFonts w:hint="eastAsia" w:ascii="宋体" w:hAnsi="宋体"/>
          <w:color w:val="auto"/>
          <w:szCs w:val="21"/>
          <w:highlight w:val="none"/>
          <w:u w:val="single"/>
        </w:rPr>
        <w:t>其他未列明行业</w:t>
      </w:r>
      <w:r>
        <w:rPr>
          <w:rFonts w:ascii="宋体" w:hAnsi="宋体"/>
          <w:color w:val="auto"/>
          <w:szCs w:val="21"/>
          <w:highlight w:val="none"/>
        </w:rPr>
        <w:t>；承接企业为</w:t>
      </w:r>
      <w:r>
        <w:rPr>
          <w:rFonts w:ascii="宋体" w:hAnsi="宋体"/>
          <w:color w:val="auto"/>
          <w:szCs w:val="21"/>
          <w:highlight w:val="none"/>
          <w:u w:val="single"/>
        </w:rPr>
        <w:t xml:space="preserve">       （企业名称）  </w:t>
      </w:r>
      <w:r>
        <w:rPr>
          <w:rFonts w:ascii="宋体" w:hAnsi="宋体"/>
          <w:color w:val="auto"/>
          <w:szCs w:val="21"/>
          <w:highlight w:val="none"/>
        </w:rPr>
        <w:t>，从业人员</w:t>
      </w:r>
      <w:r>
        <w:rPr>
          <w:rFonts w:hint="eastAsia" w:ascii="宋体" w:hAnsi="宋体"/>
          <w:color w:val="auto"/>
          <w:szCs w:val="21"/>
          <w:highlight w:val="none"/>
          <w:u w:val="single"/>
        </w:rPr>
        <w:t xml:space="preserve">      </w:t>
      </w:r>
      <w:r>
        <w:rPr>
          <w:rFonts w:ascii="宋体" w:hAnsi="宋体"/>
          <w:color w:val="auto"/>
          <w:szCs w:val="21"/>
          <w:highlight w:val="none"/>
        </w:rPr>
        <w:t>人，营业收入为</w:t>
      </w:r>
      <w:r>
        <w:rPr>
          <w:rFonts w:hint="eastAsia" w:ascii="宋体" w:hAnsi="宋体"/>
          <w:color w:val="auto"/>
          <w:szCs w:val="21"/>
          <w:highlight w:val="none"/>
          <w:u w:val="single"/>
        </w:rPr>
        <w:t xml:space="preserve">        </w:t>
      </w:r>
      <w:r>
        <w:rPr>
          <w:rFonts w:ascii="宋体" w:hAnsi="宋体"/>
          <w:color w:val="auto"/>
          <w:szCs w:val="21"/>
          <w:highlight w:val="none"/>
        </w:rPr>
        <w:t>万元，资产总额为</w:t>
      </w:r>
      <w:r>
        <w:rPr>
          <w:rFonts w:hint="eastAsia" w:ascii="宋体" w:hAnsi="宋体"/>
          <w:color w:val="auto"/>
          <w:szCs w:val="21"/>
          <w:highlight w:val="none"/>
          <w:u w:val="single"/>
        </w:rPr>
        <w:t xml:space="preserve">        </w:t>
      </w:r>
      <w:r>
        <w:rPr>
          <w:rFonts w:ascii="宋体" w:hAnsi="宋体"/>
          <w:color w:val="auto"/>
          <w:szCs w:val="21"/>
          <w:highlight w:val="none"/>
        </w:rPr>
        <w:t>万元，属于</w:t>
      </w:r>
      <w:r>
        <w:rPr>
          <w:rFonts w:ascii="宋体" w:hAnsi="宋体"/>
          <w:color w:val="auto"/>
          <w:szCs w:val="21"/>
          <w:highlight w:val="none"/>
          <w:u w:val="single"/>
        </w:rPr>
        <w:t xml:space="preserve">        （中型企业、小型企业、微型企业）</w:t>
      </w:r>
      <w:r>
        <w:rPr>
          <w:rFonts w:ascii="宋体" w:hAnsi="宋体"/>
          <w:color w:val="auto"/>
          <w:szCs w:val="21"/>
          <w:highlight w:val="none"/>
        </w:rPr>
        <w:t>；</w:t>
      </w:r>
    </w:p>
    <w:p w14:paraId="3ECDC05C">
      <w:pPr>
        <w:widowControl/>
        <w:spacing w:line="240" w:lineRule="auto"/>
        <w:ind w:firstLine="480"/>
        <w:jc w:val="left"/>
        <w:rPr>
          <w:color w:val="auto"/>
          <w:highlight w:val="none"/>
        </w:rPr>
      </w:pPr>
      <w:r>
        <w:rPr>
          <w:rFonts w:hint="eastAsia" w:ascii="宋体" w:hAnsi="宋体" w:cs="宋体"/>
          <w:color w:val="auto"/>
          <w:sz w:val="24"/>
          <w:highlight w:val="none"/>
        </w:rPr>
        <w:t>……</w:t>
      </w:r>
    </w:p>
    <w:p w14:paraId="2D4C5C59">
      <w:pPr>
        <w:widowControl/>
        <w:spacing w:line="660" w:lineRule="exact"/>
        <w:ind w:firstLine="480"/>
        <w:jc w:val="left"/>
        <w:rPr>
          <w:rFonts w:ascii="宋体" w:hAnsi="宋体"/>
          <w:color w:val="auto"/>
          <w:szCs w:val="21"/>
          <w:highlight w:val="none"/>
        </w:rPr>
      </w:pPr>
      <w:r>
        <w:rPr>
          <w:rFonts w:ascii="宋体" w:hAnsi="宋体"/>
          <w:color w:val="auto"/>
          <w:szCs w:val="21"/>
          <w:highlight w:val="none"/>
        </w:rPr>
        <w:t>以上企业，不属于大企业的分支机构，不存在控股股东为大企业的情形，也不存在与大企业的负责人为同一人的情形。</w:t>
      </w:r>
    </w:p>
    <w:p w14:paraId="5B79C102">
      <w:pPr>
        <w:widowControl/>
        <w:spacing w:line="660" w:lineRule="exact"/>
        <w:ind w:firstLine="480"/>
        <w:jc w:val="left"/>
        <w:rPr>
          <w:rFonts w:ascii="宋体" w:hAnsi="宋体"/>
          <w:color w:val="auto"/>
          <w:szCs w:val="21"/>
          <w:highlight w:val="none"/>
        </w:rPr>
      </w:pPr>
      <w:r>
        <w:rPr>
          <w:rFonts w:ascii="宋体" w:hAnsi="宋体"/>
          <w:color w:val="auto"/>
          <w:szCs w:val="21"/>
          <w:highlight w:val="none"/>
        </w:rPr>
        <w:t>本企业对上述声明内容的真实性负责。如有虚假，将依法承担相应责任。</w:t>
      </w:r>
    </w:p>
    <w:p w14:paraId="30A45F52">
      <w:pPr>
        <w:widowControl/>
        <w:spacing w:before="627" w:line="660" w:lineRule="exact"/>
        <w:ind w:firstLine="4080"/>
        <w:jc w:val="left"/>
        <w:rPr>
          <w:rFonts w:ascii="宋体" w:hAnsi="宋体"/>
          <w:color w:val="auto"/>
          <w:szCs w:val="21"/>
          <w:highlight w:val="none"/>
        </w:rPr>
      </w:pPr>
      <w:r>
        <w:rPr>
          <w:rFonts w:ascii="宋体" w:hAnsi="宋体"/>
          <w:color w:val="auto"/>
          <w:szCs w:val="21"/>
          <w:highlight w:val="none"/>
        </w:rPr>
        <w:t>企业名称（盖章）：</w:t>
      </w:r>
    </w:p>
    <w:p w14:paraId="5B59AE55">
      <w:pPr>
        <w:widowControl/>
        <w:spacing w:before="156" w:line="660" w:lineRule="exact"/>
        <w:ind w:firstLine="4080"/>
        <w:jc w:val="left"/>
        <w:rPr>
          <w:rFonts w:ascii="宋体" w:hAnsi="宋体"/>
          <w:color w:val="auto"/>
          <w:szCs w:val="21"/>
          <w:highlight w:val="none"/>
        </w:rPr>
      </w:pPr>
      <w:r>
        <w:rPr>
          <w:rFonts w:ascii="宋体" w:hAnsi="宋体"/>
          <w:color w:val="auto"/>
          <w:szCs w:val="21"/>
          <w:highlight w:val="none"/>
        </w:rPr>
        <w:t>日 期：</w:t>
      </w:r>
    </w:p>
    <w:p w14:paraId="582C4F30">
      <w:pPr>
        <w:widowControl/>
        <w:spacing w:line="480" w:lineRule="exact"/>
        <w:ind w:firstLine="435"/>
        <w:jc w:val="left"/>
        <w:rPr>
          <w:rFonts w:ascii="宋体" w:hAnsi="宋体"/>
          <w:color w:val="auto"/>
          <w:sz w:val="24"/>
          <w:szCs w:val="22"/>
          <w:highlight w:val="none"/>
        </w:rPr>
      </w:pPr>
    </w:p>
    <w:p w14:paraId="7C1E19F1">
      <w:pPr>
        <w:spacing w:line="480" w:lineRule="exact"/>
        <w:ind w:firstLine="435"/>
        <w:jc w:val="left"/>
        <w:rPr>
          <w:rFonts w:ascii="宋体" w:hAnsi="宋体"/>
          <w:color w:val="auto"/>
          <w:sz w:val="24"/>
          <w:szCs w:val="22"/>
          <w:highlight w:val="none"/>
        </w:rPr>
      </w:pPr>
    </w:p>
    <w:p w14:paraId="34819716">
      <w:pPr>
        <w:spacing w:line="480" w:lineRule="exact"/>
        <w:ind w:firstLine="435"/>
        <w:jc w:val="left"/>
        <w:rPr>
          <w:rFonts w:ascii="宋体" w:hAnsi="宋体"/>
          <w:color w:val="auto"/>
          <w:sz w:val="24"/>
          <w:highlight w:val="none"/>
        </w:rPr>
      </w:pPr>
      <w:r>
        <w:rPr>
          <w:rFonts w:hint="eastAsia" w:ascii="宋体" w:hAnsi="宋体"/>
          <w:color w:val="auto"/>
          <w:sz w:val="24"/>
          <w:szCs w:val="22"/>
          <w:highlight w:val="none"/>
        </w:rPr>
        <w:t>注：</w:t>
      </w:r>
      <w:r>
        <w:rPr>
          <w:rFonts w:hint="eastAsia" w:ascii="宋体" w:hAnsi="宋体"/>
          <w:color w:val="auto"/>
          <w:sz w:val="24"/>
          <w:szCs w:val="22"/>
          <w:highlight w:val="none"/>
          <w:lang w:val="en-US" w:eastAsia="zh-CN"/>
        </w:rPr>
        <w:t>从</w:t>
      </w:r>
      <w:r>
        <w:rPr>
          <w:rFonts w:hint="eastAsia" w:ascii="宋体" w:hAnsi="宋体"/>
          <w:color w:val="auto"/>
          <w:sz w:val="24"/>
          <w:highlight w:val="none"/>
        </w:rPr>
        <w:t>业人员、营业收入、资产总额填报上一年度数据，无上一年度数据的新成立企业可不填报。</w:t>
      </w:r>
    </w:p>
    <w:p w14:paraId="0FECE205">
      <w:pPr>
        <w:spacing w:line="480" w:lineRule="exact"/>
        <w:ind w:firstLine="480"/>
        <w:rPr>
          <w:rFonts w:ascii="宋体" w:hAnsi="宋体" w:cs="宋体"/>
          <w:bCs/>
          <w:color w:val="auto"/>
          <w:sz w:val="24"/>
          <w:szCs w:val="22"/>
          <w:highlight w:val="none"/>
        </w:rPr>
      </w:pPr>
    </w:p>
    <w:p w14:paraId="309EEC10">
      <w:pPr>
        <w:widowControl/>
        <w:spacing w:before="120" w:after="120" w:line="460" w:lineRule="exact"/>
        <w:outlineLvl w:val="0"/>
        <w:rPr>
          <w:rFonts w:ascii="宋体" w:hAnsi="Courier New"/>
          <w:b/>
          <w:color w:val="auto"/>
          <w:sz w:val="32"/>
          <w:szCs w:val="32"/>
          <w:highlight w:val="none"/>
        </w:rPr>
      </w:pPr>
    </w:p>
    <w:p w14:paraId="1C7DC6CD">
      <w:pPr>
        <w:spacing w:line="500" w:lineRule="atLeast"/>
        <w:ind w:right="-92"/>
        <w:jc w:val="center"/>
        <w:outlineLvl w:val="2"/>
        <w:rPr>
          <w:rFonts w:ascii="宋体" w:hAnsi="宋体" w:cs="宋体"/>
          <w:color w:val="auto"/>
          <w:sz w:val="28"/>
          <w:szCs w:val="28"/>
          <w:highlight w:val="none"/>
        </w:rPr>
      </w:pPr>
      <w:r>
        <w:rPr>
          <w:color w:val="auto"/>
          <w:highlight w:val="none"/>
        </w:rPr>
        <w:br w:type="page" w:clear="all"/>
      </w:r>
      <w:r>
        <w:rPr>
          <w:rFonts w:hint="eastAsia" w:ascii="宋体" w:hAnsi="宋体" w:cs="宋体"/>
          <w:b/>
          <w:color w:val="auto"/>
          <w:sz w:val="28"/>
          <w:szCs w:val="28"/>
          <w:highlight w:val="none"/>
        </w:rPr>
        <w:t>属于监狱企业的证明文件（若属于监狱企业）</w:t>
      </w:r>
    </w:p>
    <w:p w14:paraId="0E6E493D">
      <w:pPr>
        <w:spacing w:line="500" w:lineRule="atLeast"/>
        <w:ind w:right="-92"/>
        <w:rPr>
          <w:rFonts w:ascii="宋体" w:hAnsi="宋体" w:cs="宋体"/>
          <w:color w:val="auto"/>
          <w:sz w:val="28"/>
          <w:szCs w:val="28"/>
          <w:highlight w:val="none"/>
        </w:rPr>
      </w:pPr>
    </w:p>
    <w:p w14:paraId="284BF61D">
      <w:pPr>
        <w:spacing w:line="500" w:lineRule="atLeast"/>
        <w:ind w:right="-92" w:firstLine="373"/>
        <w:rPr>
          <w:rFonts w:ascii="宋体" w:hAnsi="宋体" w:cs="宋体"/>
          <w:b/>
          <w:bCs/>
          <w:color w:val="auto"/>
          <w:szCs w:val="21"/>
          <w:highlight w:val="none"/>
        </w:rPr>
      </w:pPr>
      <w:r>
        <w:rPr>
          <w:rFonts w:hint="eastAsia" w:ascii="宋体" w:hAnsi="宋体" w:cs="宋体"/>
          <w:b/>
          <w:bCs/>
          <w:color w:val="auto"/>
          <w:szCs w:val="21"/>
          <w:highlight w:val="none"/>
        </w:rPr>
        <w:t>监狱企业参加政府采购活动时，应当提供由省级以上监狱管理局、戒毒管理局（含新疆生产建设兵团）出具的属于监狱企业的证明文件。</w:t>
      </w:r>
    </w:p>
    <w:p w14:paraId="4F63246E">
      <w:pPr>
        <w:spacing w:line="500" w:lineRule="atLeast"/>
        <w:ind w:right="-92"/>
        <w:rPr>
          <w:rFonts w:ascii="宋体" w:hAnsi="宋体" w:cs="宋体"/>
          <w:color w:val="auto"/>
          <w:szCs w:val="21"/>
          <w:highlight w:val="none"/>
        </w:rPr>
      </w:pPr>
    </w:p>
    <w:p w14:paraId="0B04CCEB">
      <w:pPr>
        <w:spacing w:line="500" w:lineRule="atLeast"/>
        <w:ind w:right="-92"/>
        <w:rPr>
          <w:rFonts w:ascii="宋体" w:hAnsi="宋体" w:cs="宋体"/>
          <w:b/>
          <w:bCs/>
          <w:color w:val="auto"/>
          <w:szCs w:val="21"/>
          <w:highlight w:val="none"/>
        </w:rPr>
      </w:pPr>
      <w:r>
        <w:rPr>
          <w:rFonts w:hint="eastAsia" w:ascii="宋体" w:hAnsi="宋体" w:cs="宋体"/>
          <w:b/>
          <w:bCs/>
          <w:color w:val="auto"/>
          <w:szCs w:val="21"/>
          <w:highlight w:val="none"/>
        </w:rPr>
        <w:t>说明：</w:t>
      </w:r>
    </w:p>
    <w:p w14:paraId="3091C6FE">
      <w:pPr>
        <w:widowControl/>
        <w:shd w:val="clear" w:color="auto" w:fill="FFFFFF"/>
        <w:spacing w:line="500" w:lineRule="atLeast"/>
        <w:ind w:right="-92" w:firstLine="371"/>
        <w:jc w:val="left"/>
        <w:rPr>
          <w:rFonts w:ascii="宋体" w:hAnsi="宋体" w:cs="宋体"/>
          <w:color w:val="auto"/>
          <w:szCs w:val="21"/>
          <w:highlight w:val="none"/>
        </w:rPr>
      </w:pPr>
      <w:r>
        <w:rPr>
          <w:rFonts w:hint="eastAsia" w:ascii="宋体" w:hAnsi="宋体" w:cs="宋体"/>
          <w:color w:val="auto"/>
          <w:szCs w:val="21"/>
          <w:highlight w:val="none"/>
        </w:rPr>
        <w:t>一、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监狱企业参加政府采购活动时，应当提供由省级以上监狱管理局、戒毒管理局（含新疆生产建设兵团）出具的属于监狱企业的证明文件。</w:t>
      </w:r>
    </w:p>
    <w:p w14:paraId="7055C4A9">
      <w:pPr>
        <w:widowControl/>
        <w:shd w:val="clear" w:color="auto" w:fill="FFFFFF"/>
        <w:spacing w:line="500" w:lineRule="atLeast"/>
        <w:ind w:right="-92" w:firstLine="371"/>
        <w:jc w:val="left"/>
        <w:rPr>
          <w:rFonts w:ascii="宋体" w:hAnsi="宋体" w:cs="宋体"/>
          <w:color w:val="auto"/>
          <w:szCs w:val="21"/>
          <w:highlight w:val="none"/>
        </w:rPr>
      </w:pPr>
      <w:r>
        <w:rPr>
          <w:rFonts w:hint="eastAsia" w:ascii="宋体" w:hAnsi="宋体" w:cs="宋体"/>
          <w:color w:val="auto"/>
          <w:szCs w:val="21"/>
          <w:highlight w:val="none"/>
        </w:rPr>
        <w:t>二、在政府采购活动中，监狱企业视同小型、微型企业，享受预留份额、评审中价格扣除等政府采购促进中小企业发展的政府采购政策。</w:t>
      </w:r>
    </w:p>
    <w:p w14:paraId="6B3B7B9D">
      <w:pPr>
        <w:widowControl/>
        <w:spacing w:line="500" w:lineRule="atLeast"/>
        <w:ind w:right="-92"/>
        <w:jc w:val="center"/>
        <w:rPr>
          <w:rFonts w:ascii="宋体" w:hAnsi="宋体" w:cs="宋体"/>
          <w:b/>
          <w:color w:val="auto"/>
          <w:sz w:val="28"/>
          <w:szCs w:val="28"/>
          <w:highlight w:val="none"/>
        </w:rPr>
      </w:pPr>
      <w:r>
        <w:rPr>
          <w:rFonts w:hint="eastAsia" w:ascii="宋体" w:hAnsi="宋体" w:cs="宋体"/>
          <w:b/>
          <w:color w:val="auto"/>
          <w:sz w:val="28"/>
          <w:szCs w:val="28"/>
          <w:highlight w:val="none"/>
        </w:rPr>
        <w:br w:type="page" w:clear="all"/>
      </w:r>
      <w:r>
        <w:rPr>
          <w:rFonts w:hint="eastAsia" w:ascii="宋体" w:hAnsi="宋体" w:cs="宋体"/>
          <w:b/>
          <w:color w:val="auto"/>
          <w:sz w:val="28"/>
          <w:szCs w:val="28"/>
          <w:highlight w:val="none"/>
        </w:rPr>
        <w:t>残疾人福利性单位声明函（若属于残疾人福利性单位）</w:t>
      </w:r>
    </w:p>
    <w:p w14:paraId="43235325">
      <w:pPr>
        <w:spacing w:line="500" w:lineRule="atLeast"/>
        <w:ind w:right="-92"/>
        <w:rPr>
          <w:rFonts w:ascii="宋体" w:hAnsi="宋体" w:cs="宋体"/>
          <w:b/>
          <w:color w:val="auto"/>
          <w:sz w:val="28"/>
          <w:szCs w:val="28"/>
          <w:highlight w:val="none"/>
        </w:rPr>
      </w:pPr>
    </w:p>
    <w:p w14:paraId="24DA3D74">
      <w:pPr>
        <w:spacing w:line="500" w:lineRule="atLeast"/>
        <w:ind w:right="-92" w:firstLine="420"/>
        <w:rPr>
          <w:rFonts w:ascii="宋体" w:hAnsi="宋体" w:cs="宋体"/>
          <w:color w:val="auto"/>
          <w:szCs w:val="21"/>
          <w:highlight w:val="none"/>
        </w:rPr>
      </w:pPr>
      <w:r>
        <w:rPr>
          <w:rFonts w:hint="eastAsia" w:ascii="宋体" w:hAnsi="宋体" w:cs="宋体"/>
          <w:color w:val="auto"/>
          <w:szCs w:val="21"/>
          <w:highlight w:val="none"/>
        </w:rPr>
        <w:t>本单位郑重声明，根据《财政部民政部中国残疾人联合会关于促进残疾人就业政府采购政策的通知》（财库〔2017〕 141号）的规定，</w:t>
      </w:r>
      <w:r>
        <w:rPr>
          <w:rFonts w:hint="eastAsia" w:ascii="宋体" w:hAnsi="宋体" w:cs="宋体"/>
          <w:b/>
          <w:bCs/>
          <w:color w:val="auto"/>
          <w:szCs w:val="21"/>
          <w:highlight w:val="none"/>
        </w:rPr>
        <w:t>本单位为符合条件的残疾人福利性单位</w:t>
      </w:r>
      <w:r>
        <w:rPr>
          <w:rFonts w:hint="eastAsia" w:ascii="宋体" w:hAnsi="宋体" w:cs="宋体"/>
          <w:color w:val="auto"/>
          <w:szCs w:val="21"/>
          <w:highlight w:val="none"/>
        </w:rPr>
        <w:t>，且本单位参加______（采购人）单位的______（项目名称）项目采购活动提供本单位制造的货物（由本单位承担工程/提供服务），或者提供其他残疾人福利性单位制造的货物（不包括使用非残疾人福利性单位注册商标的货物）。</w:t>
      </w:r>
    </w:p>
    <w:p w14:paraId="1F98FE23">
      <w:pPr>
        <w:spacing w:line="500" w:lineRule="atLeast"/>
        <w:ind w:right="-92" w:firstLine="420"/>
        <w:rPr>
          <w:rFonts w:ascii="宋体" w:hAnsi="宋体" w:cs="宋体"/>
          <w:color w:val="auto"/>
          <w:szCs w:val="21"/>
          <w:highlight w:val="none"/>
        </w:rPr>
      </w:pPr>
      <w:r>
        <w:rPr>
          <w:rFonts w:hint="eastAsia" w:ascii="宋体" w:hAnsi="宋体" w:cs="宋体"/>
          <w:color w:val="auto"/>
          <w:szCs w:val="21"/>
          <w:highlight w:val="none"/>
        </w:rPr>
        <w:t>本单位对上述声明的真实性负责。如有虚假，将依法承担相应责任。</w:t>
      </w:r>
    </w:p>
    <w:p w14:paraId="3E37F762">
      <w:pPr>
        <w:tabs>
          <w:tab w:val="left" w:pos="4860"/>
        </w:tabs>
        <w:spacing w:line="500" w:lineRule="atLeast"/>
        <w:ind w:right="-92" w:firstLine="420"/>
        <w:rPr>
          <w:rFonts w:ascii="宋体" w:hAnsi="宋体" w:cs="宋体"/>
          <w:color w:val="auto"/>
          <w:szCs w:val="21"/>
          <w:highlight w:val="none"/>
        </w:rPr>
      </w:pPr>
      <w:r>
        <w:rPr>
          <w:rFonts w:hint="eastAsia" w:ascii="宋体" w:hAnsi="宋体" w:cs="宋体"/>
          <w:color w:val="auto"/>
          <w:szCs w:val="21"/>
          <w:highlight w:val="none"/>
        </w:rPr>
        <w:t>单位名称（盖章）：</w:t>
      </w:r>
    </w:p>
    <w:p w14:paraId="1712E664">
      <w:pPr>
        <w:tabs>
          <w:tab w:val="left" w:pos="4860"/>
        </w:tabs>
        <w:spacing w:line="500" w:lineRule="atLeast"/>
        <w:ind w:right="-92" w:firstLine="420"/>
        <w:rPr>
          <w:rFonts w:ascii="宋体" w:hAnsi="宋体" w:cs="宋体"/>
          <w:color w:val="auto"/>
          <w:szCs w:val="21"/>
          <w:highlight w:val="none"/>
        </w:rPr>
      </w:pPr>
      <w:r>
        <w:rPr>
          <w:rFonts w:hint="eastAsia" w:ascii="宋体" w:hAnsi="宋体" w:cs="宋体"/>
          <w:color w:val="auto"/>
          <w:szCs w:val="21"/>
          <w:highlight w:val="none"/>
        </w:rPr>
        <w:t>日期：</w:t>
      </w:r>
    </w:p>
    <w:p w14:paraId="191B9D08">
      <w:pPr>
        <w:spacing w:line="500" w:lineRule="atLeast"/>
        <w:ind w:right="-92"/>
        <w:rPr>
          <w:rFonts w:ascii="宋体" w:hAnsi="宋体" w:cs="宋体"/>
          <w:b/>
          <w:bCs/>
          <w:color w:val="auto"/>
          <w:szCs w:val="21"/>
          <w:highlight w:val="none"/>
        </w:rPr>
      </w:pPr>
      <w:r>
        <w:rPr>
          <w:rFonts w:hint="eastAsia" w:ascii="宋体" w:hAnsi="宋体" w:cs="宋体"/>
          <w:b/>
          <w:bCs/>
          <w:color w:val="auto"/>
          <w:szCs w:val="21"/>
          <w:highlight w:val="none"/>
        </w:rPr>
        <w:t>说明：</w:t>
      </w:r>
    </w:p>
    <w:p w14:paraId="4821B90C">
      <w:pPr>
        <w:pStyle w:val="250"/>
        <w:shd w:val="clear" w:color="auto" w:fill="FFFFFF"/>
        <w:spacing w:before="0" w:beforeAutospacing="0" w:after="0" w:afterAutospacing="0" w:line="500" w:lineRule="atLeast"/>
        <w:ind w:right="-92" w:firstLine="371"/>
        <w:rPr>
          <w:color w:val="auto"/>
          <w:sz w:val="21"/>
          <w:szCs w:val="21"/>
          <w:highlight w:val="none"/>
        </w:rPr>
      </w:pPr>
      <w:r>
        <w:rPr>
          <w:rFonts w:hint="eastAsia"/>
          <w:color w:val="auto"/>
          <w:sz w:val="21"/>
          <w:szCs w:val="21"/>
          <w:highlight w:val="none"/>
        </w:rPr>
        <w:t>一、享受政府采购支持政策的残疾人福利性单位应当同时满足以下条件：</w:t>
      </w:r>
    </w:p>
    <w:p w14:paraId="4E698E64">
      <w:pPr>
        <w:pStyle w:val="250"/>
        <w:shd w:val="clear" w:color="auto" w:fill="FFFFFF"/>
        <w:spacing w:before="0" w:beforeAutospacing="0" w:after="0" w:afterAutospacing="0" w:line="500" w:lineRule="atLeast"/>
        <w:ind w:right="-92" w:firstLine="371"/>
        <w:rPr>
          <w:color w:val="auto"/>
          <w:sz w:val="21"/>
          <w:szCs w:val="21"/>
          <w:highlight w:val="none"/>
        </w:rPr>
      </w:pPr>
      <w:r>
        <w:rPr>
          <w:rFonts w:hint="eastAsia"/>
          <w:color w:val="auto"/>
          <w:sz w:val="21"/>
          <w:szCs w:val="21"/>
          <w:highlight w:val="none"/>
        </w:rPr>
        <w:t>（一）安置的残疾人占本单位在职职工人数的比例不低于25%（含25%），并且安置的残疾人人数不少于10人（含10人）；</w:t>
      </w:r>
    </w:p>
    <w:p w14:paraId="11C40394">
      <w:pPr>
        <w:pStyle w:val="250"/>
        <w:shd w:val="clear" w:color="auto" w:fill="FFFFFF"/>
        <w:spacing w:before="0" w:beforeAutospacing="0" w:after="0" w:afterAutospacing="0" w:line="500" w:lineRule="atLeast"/>
        <w:ind w:right="-92" w:firstLine="371"/>
        <w:rPr>
          <w:color w:val="auto"/>
          <w:sz w:val="21"/>
          <w:szCs w:val="21"/>
          <w:highlight w:val="none"/>
        </w:rPr>
      </w:pPr>
      <w:r>
        <w:rPr>
          <w:rFonts w:hint="eastAsia"/>
          <w:color w:val="auto"/>
          <w:sz w:val="21"/>
          <w:szCs w:val="21"/>
          <w:highlight w:val="none"/>
        </w:rPr>
        <w:t>（二）依法与安置的每位残疾人订立了一年以上（含一年）的劳动合同或服务协议；</w:t>
      </w:r>
    </w:p>
    <w:p w14:paraId="55E9C771">
      <w:pPr>
        <w:pStyle w:val="250"/>
        <w:shd w:val="clear" w:color="auto" w:fill="FFFFFF"/>
        <w:spacing w:before="0" w:beforeAutospacing="0" w:after="0" w:afterAutospacing="0" w:line="500" w:lineRule="atLeast"/>
        <w:ind w:right="-92" w:firstLine="371"/>
        <w:rPr>
          <w:color w:val="auto"/>
          <w:sz w:val="21"/>
          <w:szCs w:val="21"/>
          <w:highlight w:val="none"/>
        </w:rPr>
      </w:pPr>
      <w:r>
        <w:rPr>
          <w:rFonts w:hint="eastAsia"/>
          <w:color w:val="auto"/>
          <w:sz w:val="21"/>
          <w:szCs w:val="21"/>
          <w:highlight w:val="none"/>
        </w:rPr>
        <w:t>（三）为安置的每位残疾人按月足额缴纳了基本养老保险、基本医疗保险、失业保险、工伤保险和生育保险等社会保险费；</w:t>
      </w:r>
    </w:p>
    <w:p w14:paraId="1289D272">
      <w:pPr>
        <w:pStyle w:val="250"/>
        <w:shd w:val="clear" w:color="auto" w:fill="FFFFFF"/>
        <w:spacing w:before="0" w:beforeAutospacing="0" w:after="0" w:afterAutospacing="0" w:line="500" w:lineRule="atLeast"/>
        <w:ind w:right="-92" w:firstLine="371"/>
        <w:rPr>
          <w:color w:val="auto"/>
          <w:sz w:val="21"/>
          <w:szCs w:val="21"/>
          <w:highlight w:val="none"/>
        </w:rPr>
      </w:pPr>
      <w:r>
        <w:rPr>
          <w:rFonts w:hint="eastAsia"/>
          <w:color w:val="auto"/>
          <w:sz w:val="21"/>
          <w:szCs w:val="21"/>
          <w:highlight w:val="none"/>
        </w:rPr>
        <w:t>（四）通过银行等金融机构向安置的每位残疾人，按季支付了不低于单位所在区县适用的经省级人民政府批准的月最低工资标准的工资；</w:t>
      </w:r>
    </w:p>
    <w:p w14:paraId="0FE7EA25">
      <w:pPr>
        <w:pStyle w:val="250"/>
        <w:shd w:val="clear" w:color="auto" w:fill="FFFFFF"/>
        <w:spacing w:before="0" w:beforeAutospacing="0" w:after="0" w:afterAutospacing="0" w:line="500" w:lineRule="atLeast"/>
        <w:ind w:right="-92" w:firstLine="371"/>
        <w:rPr>
          <w:color w:val="auto"/>
          <w:sz w:val="21"/>
          <w:szCs w:val="21"/>
          <w:highlight w:val="none"/>
        </w:rPr>
      </w:pPr>
      <w:r>
        <w:rPr>
          <w:rFonts w:hint="eastAsia"/>
          <w:color w:val="auto"/>
          <w:sz w:val="21"/>
          <w:szCs w:val="21"/>
          <w:highlight w:val="none"/>
        </w:rPr>
        <w:t>（五）提供本单位制造的货物、承担的工程或者服务（以下简称产品），或者提供其他残疾人福利性单位制造的货物（不包括使用非残疾人福利性单位注册商标的货物）。</w:t>
      </w:r>
    </w:p>
    <w:p w14:paraId="26DF94C7">
      <w:pPr>
        <w:pStyle w:val="250"/>
        <w:shd w:val="clear" w:color="auto" w:fill="FFFFFF"/>
        <w:spacing w:before="0" w:beforeAutospacing="0" w:after="0" w:afterAutospacing="0" w:line="500" w:lineRule="atLeast"/>
        <w:ind w:right="-92" w:firstLine="371"/>
        <w:rPr>
          <w:color w:val="auto"/>
          <w:sz w:val="21"/>
          <w:szCs w:val="21"/>
          <w:highlight w:val="none"/>
        </w:rPr>
      </w:pPr>
      <w:r>
        <w:rPr>
          <w:rFonts w:hint="eastAsia"/>
          <w:color w:val="auto"/>
          <w:sz w:val="21"/>
          <w:szCs w:val="21"/>
          <w:highlight w:val="none"/>
        </w:rPr>
        <w:t>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订立劳动合同或者服务协议的雇员人数。</w:t>
      </w:r>
    </w:p>
    <w:p w14:paraId="1C051941">
      <w:pPr>
        <w:pStyle w:val="250"/>
        <w:shd w:val="clear" w:color="auto" w:fill="FFFFFF"/>
        <w:spacing w:before="0" w:beforeAutospacing="0" w:after="0" w:afterAutospacing="0" w:line="500" w:lineRule="atLeast"/>
        <w:ind w:right="-92" w:firstLine="371"/>
        <w:rPr>
          <w:color w:val="auto"/>
          <w:sz w:val="21"/>
          <w:szCs w:val="21"/>
          <w:highlight w:val="none"/>
        </w:rPr>
      </w:pPr>
      <w:r>
        <w:rPr>
          <w:rFonts w:hint="eastAsia"/>
          <w:color w:val="auto"/>
          <w:sz w:val="21"/>
          <w:szCs w:val="21"/>
          <w:highlight w:val="none"/>
        </w:rPr>
        <w:t>二、符合条件的残疾人福利性单位在参加政府采购活动时，应当提供财库[2017]141号文件规定的《残疾人福利性单位声明函》，并对声明的真实性负责。</w:t>
      </w:r>
    </w:p>
    <w:p w14:paraId="08CAABAE">
      <w:pPr>
        <w:pStyle w:val="250"/>
        <w:shd w:val="clear" w:color="auto" w:fill="FFFFFF"/>
        <w:spacing w:before="0" w:beforeAutospacing="0" w:after="0" w:afterAutospacing="0" w:line="500" w:lineRule="atLeast"/>
        <w:ind w:right="-92" w:firstLine="371"/>
        <w:rPr>
          <w:color w:val="auto"/>
          <w:sz w:val="21"/>
          <w:szCs w:val="21"/>
          <w:highlight w:val="none"/>
        </w:rPr>
      </w:pPr>
      <w:r>
        <w:rPr>
          <w:rFonts w:hint="eastAsia"/>
          <w:color w:val="auto"/>
          <w:sz w:val="21"/>
          <w:szCs w:val="21"/>
          <w:highlight w:val="none"/>
        </w:rPr>
        <w:t>三、在政府采购活动中，残疾人福利性单位视同小型、微型企业，享受预留份额、评审中价格扣除等促进中小企业发展的政府采购政策。</w:t>
      </w:r>
    </w:p>
    <w:p w14:paraId="0869C169">
      <w:pPr>
        <w:pStyle w:val="250"/>
        <w:shd w:val="clear" w:color="auto" w:fill="FFFFFF"/>
        <w:spacing w:before="0" w:beforeAutospacing="0" w:after="0" w:afterAutospacing="0" w:line="500" w:lineRule="atLeast"/>
        <w:ind w:right="-92" w:firstLine="371"/>
        <w:rPr>
          <w:color w:val="auto"/>
          <w:szCs w:val="21"/>
          <w:highlight w:val="none"/>
        </w:rPr>
      </w:pPr>
      <w:r>
        <w:rPr>
          <w:rFonts w:hint="eastAsia"/>
          <w:color w:val="auto"/>
          <w:sz w:val="21"/>
          <w:szCs w:val="21"/>
          <w:highlight w:val="none"/>
        </w:rPr>
        <w:t>残疾人福利性单位属于小型、微型企业的，不重复享受政策。</w:t>
      </w:r>
    </w:p>
    <w:p w14:paraId="7521B74C">
      <w:pPr>
        <w:ind w:firstLine="210"/>
        <w:rPr>
          <w:rFonts w:ascii="宋体" w:hAnsi="宋体"/>
          <w:color w:val="auto"/>
          <w:sz w:val="24"/>
          <w:highlight w:val="none"/>
        </w:rPr>
      </w:pPr>
      <w:r>
        <w:rPr>
          <w:rFonts w:ascii="宋体" w:hAnsi="宋体"/>
          <w:color w:val="auto"/>
          <w:szCs w:val="21"/>
          <w:highlight w:val="none"/>
        </w:rPr>
        <w:br w:type="page" w:clear="all"/>
      </w:r>
      <w:r>
        <w:rPr>
          <w:rFonts w:hint="eastAsia" w:ascii="宋体" w:hAnsi="宋体"/>
          <w:color w:val="auto"/>
          <w:sz w:val="24"/>
          <w:highlight w:val="none"/>
        </w:rPr>
        <w:t>格式</w:t>
      </w:r>
      <w:r>
        <w:rPr>
          <w:rFonts w:hint="eastAsia" w:ascii="宋体" w:hAnsi="宋体"/>
          <w:color w:val="auto"/>
          <w:sz w:val="24"/>
          <w:highlight w:val="none"/>
          <w:lang w:val="en-US" w:eastAsia="zh-CN"/>
        </w:rPr>
        <w:t>九</w:t>
      </w:r>
      <w:r>
        <w:rPr>
          <w:rFonts w:hint="eastAsia" w:ascii="宋体" w:hAnsi="宋体"/>
          <w:color w:val="auto"/>
          <w:sz w:val="24"/>
          <w:highlight w:val="none"/>
        </w:rPr>
        <w:t>：</w:t>
      </w:r>
    </w:p>
    <w:p w14:paraId="5A648FBA">
      <w:pPr>
        <w:rPr>
          <w:rFonts w:ascii="宋体" w:hAnsi="宋体"/>
          <w:color w:val="auto"/>
          <w:szCs w:val="21"/>
          <w:highlight w:val="none"/>
        </w:rPr>
      </w:pPr>
    </w:p>
    <w:p w14:paraId="3DB286FB">
      <w:pPr>
        <w:jc w:val="center"/>
        <w:rPr>
          <w:rFonts w:ascii="宋体" w:hAnsi="宋体"/>
          <w:b/>
          <w:color w:val="auto"/>
          <w:sz w:val="32"/>
          <w:szCs w:val="32"/>
          <w:highlight w:val="none"/>
        </w:rPr>
      </w:pPr>
      <w:r>
        <w:rPr>
          <w:rFonts w:hint="eastAsia" w:ascii="宋体" w:hAnsi="宋体"/>
          <w:b/>
          <w:color w:val="auto"/>
          <w:sz w:val="32"/>
          <w:szCs w:val="32"/>
          <w:highlight w:val="none"/>
        </w:rPr>
        <w:t>盐城市大丰区政府招标采购供应商承诺书</w:t>
      </w:r>
    </w:p>
    <w:p w14:paraId="4A7CBEC0">
      <w:pPr>
        <w:spacing w:line="400" w:lineRule="exact"/>
        <w:ind w:firstLine="600"/>
        <w:rPr>
          <w:color w:val="auto"/>
          <w:sz w:val="30"/>
          <w:szCs w:val="30"/>
          <w:highlight w:val="none"/>
        </w:rPr>
      </w:pPr>
    </w:p>
    <w:p w14:paraId="683A50AD">
      <w:pPr>
        <w:spacing w:line="480" w:lineRule="exact"/>
        <w:ind w:firstLine="420"/>
        <w:rPr>
          <w:rFonts w:ascii="宋体" w:hAnsi="宋体" w:cs="仿宋"/>
          <w:color w:val="auto"/>
          <w:szCs w:val="21"/>
          <w:highlight w:val="none"/>
          <w:u w:val="single"/>
        </w:rPr>
      </w:pPr>
      <w:r>
        <w:rPr>
          <w:rFonts w:hint="eastAsia" w:ascii="宋体" w:hAnsi="宋体" w:cs="仿宋"/>
          <w:color w:val="auto"/>
          <w:szCs w:val="21"/>
          <w:highlight w:val="none"/>
        </w:rPr>
        <w:t>为营造公开、公平、公正、诚实守信的政府招标采购交易环境，树立诚信守法的供应商形象，本单位参加政府招标采购项目</w:t>
      </w:r>
      <w:r>
        <w:rPr>
          <w:rFonts w:hint="eastAsia" w:ascii="宋体" w:hAnsi="宋体" w:cs="仿宋"/>
          <w:color w:val="auto"/>
          <w:szCs w:val="21"/>
          <w:highlight w:val="none"/>
          <w:u w:val="single"/>
        </w:rPr>
        <w:t xml:space="preserve">：                                       </w:t>
      </w:r>
    </w:p>
    <w:p w14:paraId="438A0C77">
      <w:pPr>
        <w:spacing w:line="480" w:lineRule="exact"/>
        <w:ind w:firstLine="200"/>
        <w:rPr>
          <w:rFonts w:ascii="宋体" w:hAnsi="宋体" w:cs="仿宋"/>
          <w:color w:val="auto"/>
          <w:szCs w:val="21"/>
          <w:highlight w:val="none"/>
        </w:rPr>
      </w:pPr>
      <w:r>
        <w:rPr>
          <w:rFonts w:hint="eastAsia" w:ascii="宋体" w:hAnsi="宋体" w:cs="仿宋"/>
          <w:color w:val="auto"/>
          <w:szCs w:val="21"/>
          <w:highlight w:val="none"/>
        </w:rPr>
        <w:t>的招标采购活动，本人代表本单位作出以下承诺：</w:t>
      </w:r>
    </w:p>
    <w:p w14:paraId="0954FF81">
      <w:pPr>
        <w:spacing w:line="480" w:lineRule="exact"/>
        <w:ind w:firstLine="420"/>
        <w:rPr>
          <w:rFonts w:ascii="宋体" w:hAnsi="宋体" w:cs="仿宋"/>
          <w:color w:val="auto"/>
          <w:szCs w:val="21"/>
          <w:highlight w:val="none"/>
        </w:rPr>
      </w:pPr>
      <w:r>
        <w:rPr>
          <w:rFonts w:hint="eastAsia" w:ascii="宋体" w:hAnsi="宋体" w:cs="仿宋"/>
          <w:color w:val="auto"/>
          <w:szCs w:val="21"/>
          <w:highlight w:val="none"/>
        </w:rPr>
        <w:t>（一）本单位对所提交的企（事）业单位基本信息、企（事）业负责人、项目负责人、技术负责人、从业资质和资格、业绩、财务状况、信誉等所有资料，均合法、真实、准确、有效，无任何伪造、修改、虚假成份，并对所提供资料的真实性负责；</w:t>
      </w:r>
    </w:p>
    <w:p w14:paraId="32F6F22F">
      <w:pPr>
        <w:spacing w:line="480" w:lineRule="exact"/>
        <w:ind w:firstLine="420"/>
        <w:rPr>
          <w:rFonts w:ascii="宋体" w:hAnsi="宋体" w:cs="仿宋"/>
          <w:color w:val="auto"/>
          <w:szCs w:val="21"/>
          <w:highlight w:val="none"/>
        </w:rPr>
      </w:pPr>
      <w:r>
        <w:rPr>
          <w:rFonts w:hint="eastAsia" w:ascii="宋体" w:hAnsi="宋体" w:cs="仿宋"/>
          <w:color w:val="auto"/>
          <w:szCs w:val="21"/>
          <w:highlight w:val="none"/>
        </w:rPr>
        <w:t>（二）本单位无涉及政府招标采购活动的违法、违规不良记录，我公司及相关负责人无因存在重大隐患整改不力、发生有重大社会影响生产安全事故或其他严重违法违规行为而被列入失信联合惩戒的不良记录；</w:t>
      </w:r>
    </w:p>
    <w:p w14:paraId="68C4A993">
      <w:pPr>
        <w:spacing w:line="480" w:lineRule="exact"/>
        <w:ind w:firstLine="420"/>
        <w:rPr>
          <w:rFonts w:ascii="宋体" w:hAnsi="宋体" w:cs="仿宋"/>
          <w:color w:val="auto"/>
          <w:szCs w:val="21"/>
          <w:highlight w:val="none"/>
        </w:rPr>
      </w:pPr>
      <w:r>
        <w:rPr>
          <w:rFonts w:hint="eastAsia" w:ascii="宋体" w:hAnsi="宋体" w:cs="仿宋"/>
          <w:color w:val="auto"/>
          <w:szCs w:val="21"/>
          <w:highlight w:val="none"/>
        </w:rPr>
        <w:t xml:space="preserve">（三）严格依照国家和省、市关于政府招标采购的法律、法规、规章、规范性文件，参加政府招标采购的投标活动；积极履行社会责任，促进廉政建设； </w:t>
      </w:r>
    </w:p>
    <w:p w14:paraId="71CB167D">
      <w:pPr>
        <w:spacing w:line="480" w:lineRule="exact"/>
        <w:ind w:firstLine="200"/>
        <w:rPr>
          <w:rFonts w:ascii="宋体" w:hAnsi="宋体" w:cs="仿宋"/>
          <w:color w:val="auto"/>
          <w:szCs w:val="21"/>
          <w:highlight w:val="none"/>
        </w:rPr>
      </w:pPr>
      <w:r>
        <w:rPr>
          <w:rFonts w:hint="eastAsia" w:ascii="宋体" w:hAnsi="宋体" w:cs="仿宋"/>
          <w:color w:val="auto"/>
          <w:szCs w:val="21"/>
          <w:highlight w:val="none"/>
        </w:rPr>
        <w:t>   （四）严格遵守即时信息公示规定，及时维护和更新盐城市政府采购网、苏采云交易平台中与本单位相关的信息；</w:t>
      </w:r>
    </w:p>
    <w:p w14:paraId="7938B2F1">
      <w:pPr>
        <w:spacing w:line="480" w:lineRule="exact"/>
        <w:ind w:firstLine="200"/>
        <w:rPr>
          <w:rFonts w:ascii="宋体" w:hAnsi="宋体" w:cs="仿宋"/>
          <w:color w:val="auto"/>
          <w:szCs w:val="21"/>
          <w:highlight w:val="none"/>
        </w:rPr>
      </w:pPr>
      <w:r>
        <w:rPr>
          <w:rFonts w:hint="eastAsia" w:ascii="宋体" w:hAnsi="宋体" w:cs="仿宋"/>
          <w:color w:val="auto"/>
          <w:szCs w:val="21"/>
          <w:highlight w:val="none"/>
        </w:rPr>
        <w:t>（五）自我约束、自我管理，守合同、重信用，自觉维护政府招标采购交易的良好秩序，与参与本次政府招标采购活动的其他供应商不存在直接控股或管理关系，不参与围标串标、弄虚作假、骗取中标、干扰评标、违约毁约等行为；</w:t>
      </w:r>
    </w:p>
    <w:p w14:paraId="2613A287">
      <w:pPr>
        <w:spacing w:line="480" w:lineRule="exact"/>
        <w:ind w:firstLine="200"/>
        <w:rPr>
          <w:rFonts w:ascii="宋体" w:hAnsi="宋体" w:cs="仿宋"/>
          <w:color w:val="auto"/>
          <w:szCs w:val="21"/>
          <w:highlight w:val="none"/>
        </w:rPr>
      </w:pPr>
      <w:r>
        <w:rPr>
          <w:rFonts w:hint="eastAsia" w:ascii="宋体" w:hAnsi="宋体" w:cs="仿宋"/>
          <w:color w:val="auto"/>
          <w:szCs w:val="21"/>
          <w:highlight w:val="none"/>
        </w:rPr>
        <w:t>（六）自觉接受政府、行业组织、社会公众、新闻舆论的监督；</w:t>
      </w:r>
    </w:p>
    <w:p w14:paraId="2C994524">
      <w:pPr>
        <w:spacing w:line="480" w:lineRule="exact"/>
        <w:ind w:firstLine="200"/>
        <w:rPr>
          <w:rFonts w:ascii="宋体" w:hAnsi="宋体" w:cs="仿宋"/>
          <w:color w:val="auto"/>
          <w:szCs w:val="21"/>
          <w:highlight w:val="none"/>
        </w:rPr>
      </w:pPr>
      <w:r>
        <w:rPr>
          <w:rFonts w:hint="eastAsia" w:ascii="宋体" w:hAnsi="宋体" w:cs="仿宋"/>
          <w:color w:val="auto"/>
          <w:szCs w:val="21"/>
          <w:highlight w:val="none"/>
        </w:rPr>
        <w:t>（七）本单位自愿接受政府采购监督管理机构和有关行政监督部门的依法检查。如发生违法违规或不良失信行为，自愿接受政府采购监督管理机构和有关行政监督部门依法给予的行政处罚（处理），并依法承担相应责任；</w:t>
      </w:r>
    </w:p>
    <w:p w14:paraId="6FCD0480">
      <w:pPr>
        <w:spacing w:line="480" w:lineRule="exact"/>
        <w:ind w:firstLine="200"/>
        <w:rPr>
          <w:rFonts w:ascii="宋体" w:hAnsi="宋体" w:cs="仿宋"/>
          <w:color w:val="auto"/>
          <w:szCs w:val="21"/>
          <w:highlight w:val="none"/>
        </w:rPr>
      </w:pPr>
      <w:r>
        <w:rPr>
          <w:rFonts w:hint="eastAsia" w:ascii="宋体" w:hAnsi="宋体" w:cs="仿宋"/>
          <w:color w:val="auto"/>
          <w:szCs w:val="21"/>
          <w:highlight w:val="none"/>
        </w:rPr>
        <w:t>（八）本人已认真阅读了上述承诺，并向本单位员工作了宣传教育。</w:t>
      </w:r>
    </w:p>
    <w:p w14:paraId="607130FD">
      <w:pPr>
        <w:spacing w:line="340" w:lineRule="exact"/>
        <w:ind w:firstLine="420"/>
        <w:rPr>
          <w:rFonts w:ascii="仿宋" w:hAnsi="仿宋" w:eastAsia="仿宋" w:cs="仿宋"/>
          <w:color w:val="auto"/>
          <w:szCs w:val="21"/>
          <w:highlight w:val="none"/>
        </w:rPr>
      </w:pPr>
    </w:p>
    <w:p w14:paraId="5C31A7A1">
      <w:pPr>
        <w:spacing w:line="340" w:lineRule="exact"/>
        <w:ind w:firstLine="420"/>
        <w:rPr>
          <w:rFonts w:ascii="仿宋" w:hAnsi="仿宋" w:eastAsia="仿宋" w:cs="仿宋"/>
          <w:color w:val="auto"/>
          <w:szCs w:val="21"/>
          <w:highlight w:val="none"/>
        </w:rPr>
      </w:pPr>
    </w:p>
    <w:p w14:paraId="28E0D2ED">
      <w:pPr>
        <w:spacing w:line="340" w:lineRule="exact"/>
        <w:ind w:firstLine="420"/>
        <w:rPr>
          <w:rFonts w:ascii="宋体" w:hAnsi="宋体" w:cs="仿宋"/>
          <w:color w:val="auto"/>
          <w:szCs w:val="21"/>
          <w:highlight w:val="none"/>
        </w:rPr>
      </w:pPr>
      <w:r>
        <w:rPr>
          <w:rFonts w:hint="eastAsia" w:ascii="宋体" w:hAnsi="宋体" w:cs="仿宋"/>
          <w:color w:val="auto"/>
          <w:szCs w:val="21"/>
          <w:highlight w:val="none"/>
        </w:rPr>
        <w:t xml:space="preserve">法定代表人签字或盖章：           </w:t>
      </w:r>
      <w:r>
        <w:rPr>
          <w:rFonts w:ascii="宋体" w:hAnsi="宋体" w:cs="仿宋"/>
          <w:color w:val="auto"/>
          <w:szCs w:val="21"/>
          <w:highlight w:val="none"/>
        </w:rPr>
        <w:t xml:space="preserve">                        </w:t>
      </w:r>
      <w:r>
        <w:rPr>
          <w:rFonts w:hint="eastAsia" w:ascii="宋体" w:hAnsi="宋体" w:cs="仿宋"/>
          <w:color w:val="auto"/>
          <w:szCs w:val="21"/>
          <w:highlight w:val="none"/>
        </w:rPr>
        <w:t>单位名称（盖章）：</w:t>
      </w:r>
    </w:p>
    <w:p w14:paraId="3CF5D433">
      <w:pPr>
        <w:spacing w:line="340" w:lineRule="exact"/>
        <w:rPr>
          <w:rFonts w:ascii="宋体" w:hAnsi="宋体" w:cs="仿宋"/>
          <w:color w:val="auto"/>
          <w:szCs w:val="21"/>
          <w:highlight w:val="none"/>
        </w:rPr>
      </w:pPr>
    </w:p>
    <w:p w14:paraId="569EEC4A">
      <w:pPr>
        <w:spacing w:line="340" w:lineRule="exact"/>
        <w:ind w:firstLine="7770"/>
        <w:rPr>
          <w:rFonts w:ascii="宋体" w:hAnsi="宋体" w:cs="仿宋"/>
          <w:color w:val="auto"/>
          <w:szCs w:val="21"/>
          <w:highlight w:val="none"/>
        </w:rPr>
      </w:pPr>
      <w:r>
        <w:rPr>
          <w:rFonts w:hint="eastAsia" w:ascii="宋体" w:hAnsi="宋体" w:cs="仿宋"/>
          <w:color w:val="auto"/>
          <w:szCs w:val="21"/>
          <w:highlight w:val="none"/>
        </w:rPr>
        <w:t>年    月    日</w:t>
      </w:r>
    </w:p>
    <w:p w14:paraId="6E205E52">
      <w:pPr>
        <w:widowControl/>
        <w:spacing w:line="500" w:lineRule="exact"/>
        <w:jc w:val="center"/>
        <w:rPr>
          <w:rFonts w:ascii="宋体" w:hAnsi="宋体"/>
          <w:color w:val="auto"/>
          <w:szCs w:val="21"/>
          <w:highlight w:val="none"/>
        </w:rPr>
      </w:pPr>
    </w:p>
    <w:p w14:paraId="5804FB35">
      <w:pPr>
        <w:jc w:val="left"/>
        <w:rPr>
          <w:rFonts w:ascii="宋体" w:hAnsi="宋体"/>
          <w:color w:val="auto"/>
          <w:sz w:val="24"/>
          <w:highlight w:val="none"/>
        </w:rPr>
        <w:sectPr>
          <w:footerReference r:id="rId8" w:type="default"/>
          <w:footerReference r:id="rId9" w:type="even"/>
          <w:pgSz w:w="11906" w:h="16838"/>
          <w:pgMar w:top="1134" w:right="1134" w:bottom="1134" w:left="1134" w:header="851" w:footer="992" w:gutter="0"/>
          <w:cols w:space="1701" w:num="1"/>
          <w:docGrid w:linePitch="360" w:charSpace="0"/>
        </w:sectPr>
      </w:pPr>
    </w:p>
    <w:p w14:paraId="7252B35A">
      <w:pPr>
        <w:jc w:val="left"/>
        <w:rPr>
          <w:rFonts w:ascii="宋体" w:hAnsi="宋体"/>
          <w:color w:val="auto"/>
          <w:sz w:val="24"/>
          <w:highlight w:val="none"/>
        </w:rPr>
      </w:pPr>
      <w:r>
        <w:rPr>
          <w:rFonts w:hint="eastAsia" w:ascii="宋体" w:hAnsi="宋体"/>
          <w:color w:val="auto"/>
          <w:sz w:val="24"/>
          <w:highlight w:val="none"/>
        </w:rPr>
        <w:t>格式</w:t>
      </w:r>
      <w:r>
        <w:rPr>
          <w:rFonts w:hint="eastAsia" w:ascii="宋体" w:hAnsi="宋体"/>
          <w:color w:val="auto"/>
          <w:sz w:val="24"/>
          <w:highlight w:val="none"/>
          <w:lang w:val="en-US" w:eastAsia="zh-CN"/>
        </w:rPr>
        <w:t>十</w:t>
      </w:r>
      <w:r>
        <w:rPr>
          <w:rFonts w:hint="eastAsia" w:ascii="宋体" w:hAnsi="宋体"/>
          <w:color w:val="auto"/>
          <w:sz w:val="24"/>
          <w:highlight w:val="none"/>
        </w:rPr>
        <w:t>：</w:t>
      </w:r>
    </w:p>
    <w:p w14:paraId="562573B3">
      <w:pPr>
        <w:jc w:val="center"/>
        <w:rPr>
          <w:rFonts w:ascii="宋体" w:hAnsi="宋体"/>
          <w:b/>
          <w:color w:val="auto"/>
          <w:sz w:val="32"/>
          <w:szCs w:val="32"/>
          <w:highlight w:val="none"/>
        </w:rPr>
      </w:pPr>
      <w:r>
        <w:rPr>
          <w:rFonts w:hint="eastAsia" w:ascii="宋体" w:hAnsi="宋体"/>
          <w:b/>
          <w:color w:val="auto"/>
          <w:sz w:val="32"/>
          <w:szCs w:val="32"/>
          <w:highlight w:val="none"/>
        </w:rPr>
        <w:t>开标一览表</w:t>
      </w:r>
    </w:p>
    <w:p w14:paraId="470EEC72">
      <w:pPr>
        <w:spacing w:line="480" w:lineRule="exact"/>
        <w:ind w:firstLine="210"/>
        <w:jc w:val="left"/>
        <w:rPr>
          <w:rFonts w:ascii="宋体" w:hAnsi="宋体" w:cs="Segoe UI"/>
          <w:color w:val="auto"/>
          <w:szCs w:val="21"/>
          <w:highlight w:val="none"/>
        </w:rPr>
      </w:pPr>
      <w:r>
        <w:rPr>
          <w:rFonts w:hint="eastAsia" w:ascii="宋体" w:hAnsi="宋体" w:cs="Segoe UI"/>
          <w:color w:val="auto"/>
          <w:szCs w:val="21"/>
          <w:highlight w:val="none"/>
        </w:rPr>
        <w:t xml:space="preserve">项目编号： </w:t>
      </w:r>
    </w:p>
    <w:p w14:paraId="78B3F8ED">
      <w:pPr>
        <w:widowControl/>
        <w:spacing w:before="100" w:beforeAutospacing="1" w:after="100" w:afterAutospacing="1"/>
        <w:ind w:firstLine="210"/>
        <w:jc w:val="left"/>
        <w:rPr>
          <w:rFonts w:ascii="宋体" w:hAnsi="宋体" w:cs="Segoe UI"/>
          <w:color w:val="auto"/>
          <w:szCs w:val="21"/>
          <w:highlight w:val="none"/>
        </w:rPr>
      </w:pPr>
      <w:r>
        <w:rPr>
          <w:rFonts w:ascii="宋体" w:hAnsi="宋体" w:cs="Segoe UI"/>
          <w:color w:val="auto"/>
          <w:szCs w:val="21"/>
          <w:highlight w:val="none"/>
        </w:rPr>
        <w:t>货币单位：人民币元</w:t>
      </w:r>
    </w:p>
    <w:tbl>
      <w:tblPr>
        <w:tblStyle w:val="32"/>
        <w:tblW w:w="9497" w:type="dxa"/>
        <w:tblInd w:w="14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2302"/>
        <w:gridCol w:w="3530"/>
        <w:gridCol w:w="3665"/>
      </w:tblGrid>
      <w:tr w14:paraId="66597E2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20" w:hRule="atLeast"/>
        </w:trPr>
        <w:tc>
          <w:tcPr>
            <w:tcW w:w="2302" w:type="dxa"/>
            <w:vAlign w:val="center"/>
          </w:tcPr>
          <w:p w14:paraId="13526DF6">
            <w:pPr>
              <w:widowControl/>
              <w:spacing w:before="100" w:beforeAutospacing="1" w:after="100" w:afterAutospacing="1"/>
              <w:jc w:val="center"/>
              <w:rPr>
                <w:rFonts w:ascii="宋体" w:hAnsi="宋体" w:cs="Segoe UI"/>
                <w:color w:val="auto"/>
                <w:szCs w:val="21"/>
                <w:highlight w:val="none"/>
              </w:rPr>
            </w:pPr>
            <w:r>
              <w:rPr>
                <w:rFonts w:hint="eastAsia" w:ascii="宋体" w:hAnsi="宋体" w:cs="Segoe UI"/>
                <w:color w:val="auto"/>
                <w:szCs w:val="21"/>
                <w:highlight w:val="none"/>
              </w:rPr>
              <w:t>项目</w:t>
            </w:r>
            <w:r>
              <w:rPr>
                <w:rFonts w:ascii="宋体" w:hAnsi="宋体" w:cs="Segoe UI"/>
                <w:color w:val="auto"/>
                <w:szCs w:val="21"/>
                <w:highlight w:val="none"/>
              </w:rPr>
              <w:t>名称</w:t>
            </w:r>
          </w:p>
        </w:tc>
        <w:tc>
          <w:tcPr>
            <w:tcW w:w="3530" w:type="dxa"/>
            <w:vAlign w:val="center"/>
          </w:tcPr>
          <w:p w14:paraId="081C246B">
            <w:pPr>
              <w:widowControl/>
              <w:spacing w:before="100" w:beforeAutospacing="1" w:after="100" w:afterAutospacing="1"/>
              <w:jc w:val="center"/>
              <w:rPr>
                <w:rFonts w:ascii="宋体" w:hAnsi="宋体" w:cs="Segoe UI"/>
                <w:color w:val="auto"/>
                <w:szCs w:val="21"/>
                <w:highlight w:val="none"/>
              </w:rPr>
            </w:pPr>
            <w:r>
              <w:rPr>
                <w:rFonts w:ascii="宋体" w:hAnsi="宋体" w:cs="Segoe UI"/>
                <w:color w:val="auto"/>
                <w:szCs w:val="21"/>
                <w:highlight w:val="none"/>
              </w:rPr>
              <w:t>项目内容</w:t>
            </w:r>
          </w:p>
        </w:tc>
        <w:tc>
          <w:tcPr>
            <w:tcW w:w="3665" w:type="dxa"/>
            <w:vAlign w:val="center"/>
          </w:tcPr>
          <w:p w14:paraId="18F48A23">
            <w:pPr>
              <w:widowControl/>
              <w:spacing w:before="100" w:beforeAutospacing="1" w:after="100" w:afterAutospacing="1"/>
              <w:jc w:val="center"/>
              <w:rPr>
                <w:rFonts w:ascii="宋体" w:hAnsi="宋体" w:cs="Segoe UI"/>
                <w:color w:val="auto"/>
                <w:szCs w:val="21"/>
                <w:highlight w:val="none"/>
              </w:rPr>
            </w:pPr>
            <w:r>
              <w:rPr>
                <w:rFonts w:hint="eastAsia" w:ascii="宋体" w:hAnsi="宋体" w:cs="Segoe UI"/>
                <w:color w:val="auto"/>
                <w:szCs w:val="21"/>
                <w:highlight w:val="none"/>
              </w:rPr>
              <w:t>总</w:t>
            </w:r>
            <w:r>
              <w:rPr>
                <w:rFonts w:ascii="宋体" w:hAnsi="宋体" w:cs="Segoe UI"/>
                <w:color w:val="auto"/>
                <w:szCs w:val="21"/>
                <w:highlight w:val="none"/>
              </w:rPr>
              <w:t>价（小写）</w:t>
            </w:r>
          </w:p>
        </w:tc>
      </w:tr>
      <w:tr w14:paraId="3709D6C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97" w:hRule="atLeast"/>
        </w:trPr>
        <w:tc>
          <w:tcPr>
            <w:tcW w:w="2302" w:type="dxa"/>
            <w:vAlign w:val="center"/>
          </w:tcPr>
          <w:p w14:paraId="5FADA9F4">
            <w:pPr>
              <w:widowControl/>
              <w:spacing w:before="100" w:beforeAutospacing="1" w:after="100" w:afterAutospacing="1"/>
              <w:jc w:val="center"/>
              <w:rPr>
                <w:rFonts w:ascii="宋体" w:hAnsi="宋体" w:cs="Segoe UI"/>
                <w:color w:val="auto"/>
                <w:szCs w:val="21"/>
                <w:highlight w:val="none"/>
              </w:rPr>
            </w:pPr>
          </w:p>
        </w:tc>
        <w:tc>
          <w:tcPr>
            <w:tcW w:w="3530" w:type="dxa"/>
            <w:vAlign w:val="center"/>
          </w:tcPr>
          <w:p w14:paraId="10C6561A">
            <w:pPr>
              <w:widowControl/>
              <w:spacing w:before="100" w:beforeAutospacing="1" w:after="100" w:afterAutospacing="1"/>
              <w:jc w:val="center"/>
              <w:rPr>
                <w:rFonts w:ascii="宋体" w:hAnsi="宋体" w:cs="Segoe UI"/>
                <w:color w:val="auto"/>
                <w:szCs w:val="21"/>
                <w:highlight w:val="none"/>
              </w:rPr>
            </w:pPr>
            <w:r>
              <w:rPr>
                <w:rFonts w:ascii="宋体" w:hAnsi="宋体" w:cs="Segoe UI"/>
                <w:color w:val="auto"/>
                <w:szCs w:val="21"/>
                <w:highlight w:val="none"/>
              </w:rPr>
              <w:t>详见投标文件</w:t>
            </w:r>
          </w:p>
        </w:tc>
        <w:tc>
          <w:tcPr>
            <w:tcW w:w="3665" w:type="dxa"/>
            <w:vAlign w:val="center"/>
          </w:tcPr>
          <w:p w14:paraId="0E2435E4">
            <w:pPr>
              <w:widowControl/>
              <w:spacing w:before="100" w:beforeAutospacing="1" w:after="100" w:afterAutospacing="1"/>
              <w:ind w:firstLine="2310" w:firstLineChars="1100"/>
              <w:jc w:val="both"/>
              <w:rPr>
                <w:rFonts w:ascii="宋体" w:hAnsi="宋体" w:cs="Segoe UI"/>
                <w:color w:val="auto"/>
                <w:szCs w:val="21"/>
                <w:highlight w:val="none"/>
              </w:rPr>
            </w:pPr>
            <w:r>
              <w:rPr>
                <w:rFonts w:hint="eastAsia" w:ascii="宋体" w:hAnsi="宋体" w:cs="Segoe UI"/>
                <w:color w:val="auto"/>
                <w:szCs w:val="21"/>
                <w:highlight w:val="none"/>
              </w:rPr>
              <w:t>元</w:t>
            </w:r>
          </w:p>
        </w:tc>
      </w:tr>
      <w:tr w14:paraId="51FE711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82" w:hRule="atLeast"/>
        </w:trPr>
        <w:tc>
          <w:tcPr>
            <w:tcW w:w="9497" w:type="dxa"/>
            <w:gridSpan w:val="3"/>
            <w:vAlign w:val="center"/>
          </w:tcPr>
          <w:p w14:paraId="3C7549B9">
            <w:pPr>
              <w:widowControl/>
              <w:spacing w:before="100" w:beforeAutospacing="1" w:after="100" w:afterAutospacing="1"/>
              <w:jc w:val="left"/>
              <w:rPr>
                <w:rFonts w:ascii="宋体" w:hAnsi="宋体" w:cs="Segoe UI"/>
                <w:color w:val="auto"/>
                <w:szCs w:val="21"/>
                <w:highlight w:val="none"/>
              </w:rPr>
            </w:pPr>
            <w:r>
              <w:rPr>
                <w:rFonts w:hint="eastAsia" w:ascii="宋体" w:hAnsi="宋体" w:cs="Segoe UI"/>
                <w:color w:val="auto"/>
                <w:szCs w:val="21"/>
                <w:highlight w:val="none"/>
              </w:rPr>
              <w:t>总价</w:t>
            </w:r>
            <w:r>
              <w:rPr>
                <w:rFonts w:ascii="宋体" w:hAnsi="宋体" w:cs="Segoe UI"/>
                <w:color w:val="auto"/>
                <w:szCs w:val="21"/>
                <w:highlight w:val="none"/>
              </w:rPr>
              <w:t>金额大写</w:t>
            </w:r>
            <w:r>
              <w:rPr>
                <w:rFonts w:hint="eastAsia" w:ascii="宋体" w:hAnsi="宋体" w:cs="Segoe UI"/>
                <w:color w:val="auto"/>
                <w:szCs w:val="21"/>
                <w:highlight w:val="none"/>
              </w:rPr>
              <w:t>：</w:t>
            </w:r>
          </w:p>
        </w:tc>
      </w:tr>
    </w:tbl>
    <w:p w14:paraId="47A982EB">
      <w:pPr>
        <w:widowControl/>
        <w:spacing w:before="100" w:beforeAutospacing="1" w:after="100" w:afterAutospacing="1"/>
        <w:jc w:val="left"/>
        <w:rPr>
          <w:rFonts w:ascii="宋体" w:hAnsi="宋体" w:cs="Segoe UI"/>
          <w:color w:val="auto"/>
          <w:szCs w:val="21"/>
          <w:highlight w:val="none"/>
        </w:rPr>
      </w:pPr>
    </w:p>
    <w:p w14:paraId="3CF28663">
      <w:pPr>
        <w:widowControl/>
        <w:spacing w:before="100" w:beforeAutospacing="1" w:after="100" w:afterAutospacing="1"/>
        <w:jc w:val="left"/>
        <w:rPr>
          <w:rFonts w:ascii="宋体" w:hAnsi="宋体" w:cs="Segoe UI"/>
          <w:color w:val="auto"/>
          <w:szCs w:val="21"/>
          <w:highlight w:val="none"/>
        </w:rPr>
      </w:pPr>
    </w:p>
    <w:p w14:paraId="6D35E516">
      <w:pPr>
        <w:widowControl/>
        <w:spacing w:before="100" w:beforeAutospacing="1" w:after="100" w:afterAutospacing="1"/>
        <w:ind w:firstLine="210"/>
        <w:jc w:val="left"/>
        <w:rPr>
          <w:rFonts w:ascii="宋体" w:hAnsi="宋体" w:cs="Segoe UI"/>
          <w:color w:val="auto"/>
          <w:szCs w:val="21"/>
          <w:highlight w:val="none"/>
        </w:rPr>
      </w:pPr>
      <w:r>
        <w:rPr>
          <w:rFonts w:ascii="宋体" w:hAnsi="宋体" w:cs="Segoe UI"/>
          <w:color w:val="auto"/>
          <w:szCs w:val="21"/>
          <w:highlight w:val="none"/>
        </w:rPr>
        <w:t>供应商公章：                          </w:t>
      </w:r>
    </w:p>
    <w:p w14:paraId="65BBAD29">
      <w:pPr>
        <w:widowControl/>
        <w:spacing w:before="100" w:beforeAutospacing="1" w:after="100" w:afterAutospacing="1"/>
        <w:jc w:val="left"/>
        <w:rPr>
          <w:rFonts w:ascii="宋体" w:hAnsi="宋体" w:cs="Segoe UI"/>
          <w:color w:val="auto"/>
          <w:szCs w:val="21"/>
          <w:highlight w:val="none"/>
        </w:rPr>
      </w:pPr>
      <w:r>
        <w:rPr>
          <w:rFonts w:ascii="宋体" w:hAnsi="宋体" w:cs="Segoe UI"/>
          <w:color w:val="auto"/>
          <w:szCs w:val="21"/>
          <w:highlight w:val="none"/>
        </w:rPr>
        <w:t xml:space="preserve"> （电子签章）</w:t>
      </w:r>
    </w:p>
    <w:p w14:paraId="0BBBED1C">
      <w:pPr>
        <w:pStyle w:val="38"/>
        <w:rPr>
          <w:rFonts w:hint="default" w:ascii="宋体" w:hAnsi="宋体" w:cs="Segoe UI"/>
          <w:color w:val="auto"/>
          <w:szCs w:val="21"/>
          <w:highlight w:val="none"/>
        </w:rPr>
      </w:pPr>
    </w:p>
    <w:p w14:paraId="2D71573B">
      <w:pPr>
        <w:pStyle w:val="38"/>
        <w:ind w:left="0" w:firstLine="0"/>
        <w:rPr>
          <w:rFonts w:hint="default" w:ascii="宋体" w:hAnsi="宋体" w:cs="Segoe UI"/>
          <w:color w:val="auto"/>
          <w:szCs w:val="21"/>
          <w:highlight w:val="none"/>
        </w:rPr>
      </w:pPr>
    </w:p>
    <w:p w14:paraId="08925B50">
      <w:pPr>
        <w:widowControl/>
        <w:spacing w:before="100" w:beforeAutospacing="1" w:after="100" w:afterAutospacing="1"/>
        <w:ind w:firstLine="210"/>
        <w:jc w:val="left"/>
        <w:rPr>
          <w:rFonts w:ascii="宋体" w:hAnsi="宋体" w:cs="Segoe UI"/>
          <w:color w:val="auto"/>
          <w:szCs w:val="21"/>
          <w:highlight w:val="none"/>
        </w:rPr>
      </w:pPr>
      <w:r>
        <w:rPr>
          <w:rFonts w:hint="eastAsia" w:ascii="宋体" w:hAnsi="宋体" w:cs="Segoe UI"/>
          <w:color w:val="auto"/>
          <w:szCs w:val="21"/>
          <w:highlight w:val="none"/>
        </w:rPr>
        <w:t>注：当招标文件格式与系统不一致时，以系统格式为准。</w:t>
      </w:r>
    </w:p>
    <w:p w14:paraId="01198093">
      <w:pPr>
        <w:pStyle w:val="38"/>
        <w:rPr>
          <w:rFonts w:hint="default" w:ascii="宋体" w:hAnsi="宋体" w:cs="Segoe UI"/>
          <w:color w:val="auto"/>
          <w:szCs w:val="21"/>
          <w:highlight w:val="none"/>
        </w:rPr>
      </w:pPr>
    </w:p>
    <w:bookmarkEnd w:id="98"/>
    <w:sectPr>
      <w:pgSz w:w="11906" w:h="16838"/>
      <w:pgMar w:top="1134" w:right="1134" w:bottom="1134" w:left="1134" w:header="851" w:footer="992" w:gutter="0"/>
      <w:cols w:space="1701"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modern"/>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modern"/>
    <w:pitch w:val="default"/>
    <w:sig w:usb0="800002BF" w:usb1="38CF7CFA" w:usb2="00000016" w:usb3="00000000" w:csb0="00040001" w:csb1="00000000"/>
  </w:font>
  <w:font w:name="Cambria">
    <w:panose1 w:val="02040503050406030204"/>
    <w:charset w:val="00"/>
    <w:family w:val="roman"/>
    <w:pitch w:val="default"/>
    <w:sig w:usb0="E00006FF" w:usb1="420024FF" w:usb2="02000000" w:usb3="00000000" w:csb0="2000019F" w:csb1="00000000"/>
  </w:font>
  <w:font w:name="Tahoma">
    <w:panose1 w:val="020B0604030504040204"/>
    <w:charset w:val="00"/>
    <w:family w:val="swiss"/>
    <w:pitch w:val="default"/>
    <w:sig w:usb0="E1002EFF" w:usb1="C000605B" w:usb2="00000029" w:usb3="00000000" w:csb0="200101FF" w:csb1="20280000"/>
  </w:font>
  <w:font w:name="华文细黑">
    <w:panose1 w:val="02010600040101010101"/>
    <w:charset w:val="86"/>
    <w:family w:val="auto"/>
    <w:pitch w:val="default"/>
    <w:sig w:usb0="00000287" w:usb1="080F0000" w:usb2="00000000" w:usb3="00000000" w:csb0="0004009F" w:csb1="DFD70000"/>
  </w:font>
  <w:font w:name="Impact">
    <w:panose1 w:val="020B0806030902050204"/>
    <w:charset w:val="00"/>
    <w:family w:val="swiss"/>
    <w:pitch w:val="default"/>
    <w:sig w:usb0="00000287" w:usb1="00000000" w:usb2="00000000" w:usb3="00000000" w:csb0="2000009F" w:csb1="DFD70000"/>
  </w:font>
  <w:font w:name="楷体_GB2312">
    <w:altName w:val="楷体"/>
    <w:panose1 w:val="02010609030101010101"/>
    <w:charset w:val="86"/>
    <w:family w:val="modern"/>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TimesNewRomanPSMT">
    <w:altName w:val="Times New Roman"/>
    <w:panose1 w:val="00000000000000000000"/>
    <w:charset w:val="00"/>
    <w:family w:val="auto"/>
    <w:pitch w:val="default"/>
    <w:sig w:usb0="00000000" w:usb1="00000000" w:usb2="00000000" w:usb3="00000000" w:csb0="00000000" w:csb1="00000000"/>
  </w:font>
  <w:font w:name="Angsana New">
    <w:altName w:val="Times New Roman"/>
    <w:panose1 w:val="02020603050405020304"/>
    <w:charset w:val="00"/>
    <w:family w:val="roman"/>
    <w:pitch w:val="default"/>
    <w:sig w:usb0="00000000" w:usb1="00000000" w:usb2="00000000" w:usb3="00000000" w:csb0="00010001" w:csb1="00000000"/>
  </w:font>
  <w:font w:name="FangSong_GB2312-Identity-H">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SimSun-Identity-H">
    <w:altName w:val="Verdana"/>
    <w:panose1 w:val="00000000000000000000"/>
    <w:charset w:val="00"/>
    <w:family w:val="auto"/>
    <w:pitch w:val="default"/>
    <w:sig w:usb0="00000000" w:usb1="00000000" w:usb2="00000000" w:usb3="00000000" w:csb0="00000000" w:csb1="00000000"/>
  </w:font>
  <w:font w:name="Verdana">
    <w:panose1 w:val="020B0604030504040204"/>
    <w:charset w:val="00"/>
    <w:family w:val="auto"/>
    <w:pitch w:val="default"/>
    <w:sig w:usb0="A00006FF" w:usb1="4000205B" w:usb2="00000010" w:usb3="00000000" w:csb0="2000019F" w:csb1="00000000"/>
  </w:font>
  <w:font w:name="Segoe UI">
    <w:panose1 w:val="020B0502040204020203"/>
    <w:charset w:val="00"/>
    <w:family w:val="swiss"/>
    <w:pitch w:val="default"/>
    <w:sig w:usb0="E4002EFF" w:usb1="C000E47F" w:usb2="00000009" w:usb3="00000000" w:csb0="2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7EE740B">
    <w:pPr>
      <w:pStyle w:val="231"/>
      <w:ind w:left="840" w:hanging="420"/>
      <w:jc w:val="center"/>
    </w:pPr>
    <w:r>
      <w:fldChar w:fldCharType="begin"/>
    </w:r>
    <w:r>
      <w:instrText xml:space="preserve"> PAGE   \* MERGEFORMAT </w:instrText>
    </w:r>
    <w:r>
      <w:fldChar w:fldCharType="separate"/>
    </w:r>
    <w:r>
      <w:rPr>
        <w:lang w:val="zh-CN"/>
      </w:rPr>
      <w:t>41</w:t>
    </w:r>
    <w:r>
      <w:fldChar w:fldCharType="end"/>
    </w:r>
  </w:p>
  <w:p w14:paraId="2E5D4533">
    <w:pPr>
      <w:pStyle w:val="231"/>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297D821">
    <w:pPr>
      <w:pStyle w:val="231"/>
      <w:framePr w:wrap="around" w:vAnchor="text" w:hAnchor="margin" w:xAlign="center" w:y="1"/>
      <w:rPr>
        <w:rStyle w:val="261"/>
      </w:rPr>
    </w:pPr>
    <w:r>
      <w:fldChar w:fldCharType="begin"/>
    </w:r>
    <w:r>
      <w:rPr>
        <w:rStyle w:val="261"/>
      </w:rPr>
      <w:instrText xml:space="preserve">PAGE  </w:instrText>
    </w:r>
    <w:r>
      <w:fldChar w:fldCharType="end"/>
    </w:r>
  </w:p>
  <w:p w14:paraId="6AFABDE3">
    <w:pPr>
      <w:pStyle w:val="231"/>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C8F2F8F">
    <w:pPr>
      <w:pStyle w:val="231"/>
      <w:jc w:val="center"/>
    </w:pPr>
    <w:r>
      <w:fldChar w:fldCharType="begin"/>
    </w:r>
    <w:r>
      <w:instrText xml:space="preserve">PAGE   \* MERGEFORMAT</w:instrText>
    </w:r>
    <w:r>
      <w:fldChar w:fldCharType="separate"/>
    </w:r>
    <w:r>
      <w:rPr>
        <w:lang w:val="zh-CN"/>
      </w:rPr>
      <w:t>58</w:t>
    </w:r>
    <w:r>
      <w:fldChar w:fldCharType="end"/>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B067980">
    <w:pPr>
      <w:pStyle w:val="231"/>
      <w:framePr w:wrap="around" w:vAnchor="text" w:hAnchor="margin" w:xAlign="center" w:y="1"/>
      <w:rPr>
        <w:rStyle w:val="261"/>
      </w:rPr>
    </w:pPr>
    <w:r>
      <w:fldChar w:fldCharType="begin"/>
    </w:r>
    <w:r>
      <w:rPr>
        <w:rStyle w:val="261"/>
      </w:rPr>
      <w:instrText xml:space="preserve">PAGE  </w:instrText>
    </w:r>
    <w:r>
      <w:fldChar w:fldCharType="end"/>
    </w:r>
  </w:p>
  <w:p w14:paraId="7F6EA6A3">
    <w:pPr>
      <w:pStyle w:val="231"/>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pPr>
      <w:r>
        <w:separator/>
      </w:r>
    </w:p>
  </w:footnote>
  <w:footnote w:type="continuationSeparator" w:id="1">
    <w:p>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63DC8C9">
    <w:pPr>
      <w:pStyle w:val="233"/>
      <w:pBdr>
        <w:bottom w:val="none" w:color="000000" w:sz="0" w:space="0"/>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53208E"/>
    <w:multiLevelType w:val="multilevel"/>
    <w:tmpl w:val="0053208E"/>
    <w:lvl w:ilvl="0" w:tentative="0">
      <w:start w:val="1"/>
      <w:numFmt w:val="bullet"/>
      <w:pStyle w:val="355"/>
      <w:lvlText w:val=""/>
      <w:lvlJc w:val="left"/>
      <w:pPr>
        <w:tabs>
          <w:tab w:val="left" w:pos="980"/>
        </w:tabs>
        <w:ind w:left="980" w:hanging="420"/>
      </w:pPr>
      <w:rPr>
        <w:rFonts w:ascii="Wingdings" w:hAnsi="Wingdings"/>
      </w:rPr>
    </w:lvl>
    <w:lvl w:ilvl="1" w:tentative="0">
      <w:start w:val="1"/>
      <w:numFmt w:val="bullet"/>
      <w:lvlText w:val=""/>
      <w:lvlJc w:val="left"/>
      <w:pPr>
        <w:tabs>
          <w:tab w:val="left" w:pos="1400"/>
        </w:tabs>
        <w:ind w:left="1400" w:hanging="420"/>
      </w:pPr>
      <w:rPr>
        <w:rFonts w:ascii="Wingdings" w:hAnsi="Wingdings"/>
      </w:rPr>
    </w:lvl>
    <w:lvl w:ilvl="2" w:tentative="0">
      <w:start w:val="1"/>
      <w:numFmt w:val="bullet"/>
      <w:lvlText w:val=""/>
      <w:lvlJc w:val="left"/>
      <w:pPr>
        <w:tabs>
          <w:tab w:val="left" w:pos="1820"/>
        </w:tabs>
        <w:ind w:left="1820" w:hanging="420"/>
      </w:pPr>
      <w:rPr>
        <w:rFonts w:ascii="Wingdings" w:hAnsi="Wingdings"/>
      </w:rPr>
    </w:lvl>
    <w:lvl w:ilvl="3" w:tentative="0">
      <w:start w:val="1"/>
      <w:numFmt w:val="bullet"/>
      <w:lvlText w:val=""/>
      <w:lvlJc w:val="left"/>
      <w:pPr>
        <w:tabs>
          <w:tab w:val="left" w:pos="2240"/>
        </w:tabs>
        <w:ind w:left="2240" w:hanging="420"/>
      </w:pPr>
      <w:rPr>
        <w:rFonts w:ascii="Wingdings" w:hAnsi="Wingdings"/>
      </w:rPr>
    </w:lvl>
    <w:lvl w:ilvl="4" w:tentative="0">
      <w:start w:val="1"/>
      <w:numFmt w:val="bullet"/>
      <w:lvlText w:val=""/>
      <w:lvlJc w:val="left"/>
      <w:pPr>
        <w:tabs>
          <w:tab w:val="left" w:pos="2660"/>
        </w:tabs>
        <w:ind w:left="2660" w:hanging="420"/>
      </w:pPr>
      <w:rPr>
        <w:rFonts w:ascii="Wingdings" w:hAnsi="Wingdings"/>
      </w:rPr>
    </w:lvl>
    <w:lvl w:ilvl="5" w:tentative="0">
      <w:start w:val="1"/>
      <w:numFmt w:val="bullet"/>
      <w:lvlText w:val=""/>
      <w:lvlJc w:val="left"/>
      <w:pPr>
        <w:tabs>
          <w:tab w:val="left" w:pos="3080"/>
        </w:tabs>
        <w:ind w:left="3080" w:hanging="420"/>
      </w:pPr>
      <w:rPr>
        <w:rFonts w:ascii="Wingdings" w:hAnsi="Wingdings"/>
      </w:rPr>
    </w:lvl>
    <w:lvl w:ilvl="6" w:tentative="0">
      <w:start w:val="1"/>
      <w:numFmt w:val="bullet"/>
      <w:lvlText w:val=""/>
      <w:lvlJc w:val="left"/>
      <w:pPr>
        <w:tabs>
          <w:tab w:val="left" w:pos="3500"/>
        </w:tabs>
        <w:ind w:left="3500" w:hanging="420"/>
      </w:pPr>
      <w:rPr>
        <w:rFonts w:ascii="Wingdings" w:hAnsi="Wingdings"/>
      </w:rPr>
    </w:lvl>
    <w:lvl w:ilvl="7" w:tentative="0">
      <w:start w:val="1"/>
      <w:numFmt w:val="bullet"/>
      <w:lvlText w:val=""/>
      <w:lvlJc w:val="left"/>
      <w:pPr>
        <w:tabs>
          <w:tab w:val="left" w:pos="3920"/>
        </w:tabs>
        <w:ind w:left="3920" w:hanging="420"/>
      </w:pPr>
      <w:rPr>
        <w:rFonts w:ascii="Wingdings" w:hAnsi="Wingdings"/>
      </w:rPr>
    </w:lvl>
    <w:lvl w:ilvl="8" w:tentative="0">
      <w:start w:val="1"/>
      <w:numFmt w:val="bullet"/>
      <w:lvlText w:val=""/>
      <w:lvlJc w:val="left"/>
      <w:pPr>
        <w:tabs>
          <w:tab w:val="left" w:pos="4340"/>
        </w:tabs>
        <w:ind w:left="4340" w:hanging="420"/>
      </w:pPr>
      <w:rPr>
        <w:rFonts w:ascii="Wingdings" w:hAnsi="Wingdings"/>
      </w:rPr>
    </w:lvl>
  </w:abstractNum>
  <w:abstractNum w:abstractNumId="1">
    <w:nsid w:val="56E67968"/>
    <w:multiLevelType w:val="singleLevel"/>
    <w:tmpl w:val="56E67968"/>
    <w:lvl w:ilvl="0" w:tentative="0">
      <w:start w:val="1"/>
      <w:numFmt w:val="chineseCounting"/>
      <w:suff w:val="nothing"/>
      <w:lvlText w:val="%1、"/>
      <w:lvlJc w:val="left"/>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NotTrackMoves/>
  <w:documentProtection w:enforcement="0"/>
  <w:defaultTabStop w:val="420"/>
  <w:displayHorizontalDrawingGridEvery w:val="1"/>
  <w:displayVerticalDrawingGridEvery w:val="1"/>
  <w:noPunctuationKerning w:val="1"/>
  <w:characterSpacingControl w:val="doNotCompress"/>
  <w:footnotePr>
    <w:footnote w:id="0"/>
    <w:footnote w:id="1"/>
  </w:footnotePr>
  <w:endnotePr>
    <w:endnote w:id="0"/>
    <w:endnote w:id="1"/>
  </w:endnotePr>
  <w:compat>
    <w:balanceSingleByteDoubleByteWidth/>
    <w:ulTrailSpace/>
    <w:doNotExpandShiftReturn/>
    <w:doNotWrapTextWithPunct/>
    <w:doNotUseEastAsianBreakRules/>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BB5006"/>
    <w:rsid w:val="000A6A7A"/>
    <w:rsid w:val="00120618"/>
    <w:rsid w:val="001D0824"/>
    <w:rsid w:val="00212A77"/>
    <w:rsid w:val="00284AE5"/>
    <w:rsid w:val="0029462B"/>
    <w:rsid w:val="002E62D7"/>
    <w:rsid w:val="003202E4"/>
    <w:rsid w:val="00435CD4"/>
    <w:rsid w:val="00445B2C"/>
    <w:rsid w:val="0045412D"/>
    <w:rsid w:val="004C7D20"/>
    <w:rsid w:val="005E5D7A"/>
    <w:rsid w:val="006069FF"/>
    <w:rsid w:val="00613C92"/>
    <w:rsid w:val="006D2878"/>
    <w:rsid w:val="007A15FB"/>
    <w:rsid w:val="007A6575"/>
    <w:rsid w:val="00882C5E"/>
    <w:rsid w:val="009309F0"/>
    <w:rsid w:val="00A17056"/>
    <w:rsid w:val="00B4007C"/>
    <w:rsid w:val="00B9427C"/>
    <w:rsid w:val="00BA542E"/>
    <w:rsid w:val="00BB5006"/>
    <w:rsid w:val="00BE7979"/>
    <w:rsid w:val="00C708C7"/>
    <w:rsid w:val="00C95BD6"/>
    <w:rsid w:val="00CB14A9"/>
    <w:rsid w:val="00D62A72"/>
    <w:rsid w:val="00E028A3"/>
    <w:rsid w:val="00F257E0"/>
    <w:rsid w:val="00F678E9"/>
    <w:rsid w:val="015754F6"/>
    <w:rsid w:val="02DD1A2B"/>
    <w:rsid w:val="05A24049"/>
    <w:rsid w:val="05AB25E4"/>
    <w:rsid w:val="07564D6F"/>
    <w:rsid w:val="075F45B4"/>
    <w:rsid w:val="08A22B86"/>
    <w:rsid w:val="08AF6F73"/>
    <w:rsid w:val="09074930"/>
    <w:rsid w:val="099F7DCA"/>
    <w:rsid w:val="0AFD0EBC"/>
    <w:rsid w:val="0B9171BD"/>
    <w:rsid w:val="0C126BE9"/>
    <w:rsid w:val="0C8A677F"/>
    <w:rsid w:val="0E341099"/>
    <w:rsid w:val="104B091B"/>
    <w:rsid w:val="11E15093"/>
    <w:rsid w:val="16E86EC4"/>
    <w:rsid w:val="179E5607"/>
    <w:rsid w:val="17F92A0B"/>
    <w:rsid w:val="17FE0021"/>
    <w:rsid w:val="19197C97"/>
    <w:rsid w:val="19940418"/>
    <w:rsid w:val="1A475BBD"/>
    <w:rsid w:val="1AC11F06"/>
    <w:rsid w:val="1C533032"/>
    <w:rsid w:val="1D303373"/>
    <w:rsid w:val="1FEE1E89"/>
    <w:rsid w:val="229818CC"/>
    <w:rsid w:val="22FB3ADB"/>
    <w:rsid w:val="23D706B8"/>
    <w:rsid w:val="247E4B7C"/>
    <w:rsid w:val="25E1520A"/>
    <w:rsid w:val="25FA498E"/>
    <w:rsid w:val="2609650F"/>
    <w:rsid w:val="28264794"/>
    <w:rsid w:val="285E6FE6"/>
    <w:rsid w:val="286D0FD7"/>
    <w:rsid w:val="2C8007DB"/>
    <w:rsid w:val="2CBD276A"/>
    <w:rsid w:val="2CCD0296"/>
    <w:rsid w:val="2D2F13E4"/>
    <w:rsid w:val="2F3A598B"/>
    <w:rsid w:val="2F6F7D2B"/>
    <w:rsid w:val="2FEE6EA1"/>
    <w:rsid w:val="30E402A4"/>
    <w:rsid w:val="33E32A95"/>
    <w:rsid w:val="35366BF5"/>
    <w:rsid w:val="35F82159"/>
    <w:rsid w:val="374750E9"/>
    <w:rsid w:val="378123A9"/>
    <w:rsid w:val="38795776"/>
    <w:rsid w:val="38E76B84"/>
    <w:rsid w:val="39486E79"/>
    <w:rsid w:val="3AD76784"/>
    <w:rsid w:val="3BF13876"/>
    <w:rsid w:val="3C601127"/>
    <w:rsid w:val="3C746A42"/>
    <w:rsid w:val="3CF278A5"/>
    <w:rsid w:val="3D3364A5"/>
    <w:rsid w:val="3DF72907"/>
    <w:rsid w:val="3E014D0B"/>
    <w:rsid w:val="3E1B6E07"/>
    <w:rsid w:val="416A49D3"/>
    <w:rsid w:val="41CE6B33"/>
    <w:rsid w:val="44983428"/>
    <w:rsid w:val="450E090E"/>
    <w:rsid w:val="4566371B"/>
    <w:rsid w:val="457479F1"/>
    <w:rsid w:val="46A75874"/>
    <w:rsid w:val="46B02CAB"/>
    <w:rsid w:val="46F801AE"/>
    <w:rsid w:val="49B14145"/>
    <w:rsid w:val="4AF173EE"/>
    <w:rsid w:val="4BFB451E"/>
    <w:rsid w:val="4D4B54DB"/>
    <w:rsid w:val="4E1C29D4"/>
    <w:rsid w:val="4F530677"/>
    <w:rsid w:val="50974594"/>
    <w:rsid w:val="54EA382C"/>
    <w:rsid w:val="55700BAA"/>
    <w:rsid w:val="559B5B59"/>
    <w:rsid w:val="55F67FAE"/>
    <w:rsid w:val="592A4725"/>
    <w:rsid w:val="5A5F6122"/>
    <w:rsid w:val="5B9938B6"/>
    <w:rsid w:val="5C8E73AF"/>
    <w:rsid w:val="5DD961EC"/>
    <w:rsid w:val="5EDF7832"/>
    <w:rsid w:val="5F36141C"/>
    <w:rsid w:val="606A75CF"/>
    <w:rsid w:val="62FF4CF4"/>
    <w:rsid w:val="63A66B70"/>
    <w:rsid w:val="642C112A"/>
    <w:rsid w:val="65A13A93"/>
    <w:rsid w:val="660A5ADC"/>
    <w:rsid w:val="66AF7645"/>
    <w:rsid w:val="67980D82"/>
    <w:rsid w:val="67987117"/>
    <w:rsid w:val="695258CD"/>
    <w:rsid w:val="69BE2739"/>
    <w:rsid w:val="69D106BF"/>
    <w:rsid w:val="6AB57FE0"/>
    <w:rsid w:val="6AE67D79"/>
    <w:rsid w:val="6D327AB2"/>
    <w:rsid w:val="6D3C6797"/>
    <w:rsid w:val="6D851EEC"/>
    <w:rsid w:val="6E6C09B6"/>
    <w:rsid w:val="6E8D5F70"/>
    <w:rsid w:val="71CA25C3"/>
    <w:rsid w:val="72710A66"/>
    <w:rsid w:val="727623EE"/>
    <w:rsid w:val="737C5B3F"/>
    <w:rsid w:val="73EA0CFB"/>
    <w:rsid w:val="742F670E"/>
    <w:rsid w:val="749D7B1B"/>
    <w:rsid w:val="7695065F"/>
    <w:rsid w:val="778B45A3"/>
    <w:rsid w:val="77C3377A"/>
    <w:rsid w:val="77EB3293"/>
    <w:rsid w:val="783E7867"/>
    <w:rsid w:val="789D43BD"/>
    <w:rsid w:val="78FA19E0"/>
    <w:rsid w:val="7A990D85"/>
    <w:rsid w:val="7C50191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uiPriority="99" w:name="Normal Indent"/>
    <w:lsdException w:qFormat="1" w:uiPriority="99" w:name="footnote text"/>
    <w:lsdException w:qFormat="1" w:uiPriority="99" w:name="annotation text"/>
    <w:lsdException w:qFormat="1" w:uiPriority="99" w:semiHidden="0" w:name="header"/>
    <w:lsdException w:qFormat="1" w:uiPriority="99" w:semiHidden="0" w:name="footer"/>
    <w:lsdException w:uiPriority="99" w:name="index heading"/>
    <w:lsdException w:qFormat="1" w:uiPriority="35" w:name="caption"/>
    <w:lsdException w:qFormat="1" w:uiPriority="99" w:semiHidden="0" w:name="table of figures"/>
    <w:lsdException w:uiPriority="99" w:name="envelope address"/>
    <w:lsdException w:uiPriority="99" w:name="envelope return"/>
    <w:lsdException w:qFormat="1" w:uiPriority="99" w:semiHidden="0" w:name="footnote reference"/>
    <w:lsdException w:uiPriority="99" w:name="annotation reference"/>
    <w:lsdException w:uiPriority="99" w:name="line number"/>
    <w:lsdException w:uiPriority="99"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qFormat="1" w:unhideWhenUsed="0" w:uiPriority="0" w:semiHidden="0"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spacing w:line="440" w:lineRule="exact"/>
      <w:jc w:val="both"/>
    </w:pPr>
    <w:rPr>
      <w:rFonts w:ascii="Times New Roman" w:hAnsi="Times New Roman" w:eastAsia="宋体" w:cs="Times New Roman"/>
      <w:sz w:val="21"/>
      <w:szCs w:val="24"/>
      <w:lang w:val="en-US" w:eastAsia="zh-CN" w:bidi="ar-SA"/>
    </w:rPr>
  </w:style>
  <w:style w:type="paragraph" w:styleId="3">
    <w:name w:val="heading 1"/>
    <w:basedOn w:val="1"/>
    <w:next w:val="1"/>
    <w:link w:val="39"/>
    <w:qFormat/>
    <w:uiPriority w:val="9"/>
    <w:pPr>
      <w:keepNext/>
      <w:keepLines/>
      <w:spacing w:before="480" w:after="200"/>
      <w:outlineLvl w:val="0"/>
    </w:pPr>
    <w:rPr>
      <w:rFonts w:ascii="Arial" w:hAnsi="Arial" w:eastAsia="Arial" w:cs="Arial"/>
      <w:sz w:val="40"/>
      <w:szCs w:val="40"/>
    </w:rPr>
  </w:style>
  <w:style w:type="paragraph" w:styleId="4">
    <w:name w:val="heading 2"/>
    <w:basedOn w:val="1"/>
    <w:next w:val="1"/>
    <w:link w:val="40"/>
    <w:unhideWhenUsed/>
    <w:qFormat/>
    <w:uiPriority w:val="9"/>
    <w:pPr>
      <w:keepNext/>
      <w:keepLines/>
      <w:spacing w:before="360" w:after="200"/>
      <w:outlineLvl w:val="1"/>
    </w:pPr>
    <w:rPr>
      <w:rFonts w:ascii="Arial" w:hAnsi="Arial" w:eastAsia="Arial" w:cs="Arial"/>
      <w:sz w:val="34"/>
    </w:rPr>
  </w:style>
  <w:style w:type="paragraph" w:styleId="5">
    <w:name w:val="heading 3"/>
    <w:basedOn w:val="1"/>
    <w:next w:val="1"/>
    <w:link w:val="41"/>
    <w:unhideWhenUsed/>
    <w:qFormat/>
    <w:uiPriority w:val="9"/>
    <w:pPr>
      <w:keepNext/>
      <w:keepLines/>
      <w:spacing w:before="320" w:after="200"/>
      <w:outlineLvl w:val="2"/>
    </w:pPr>
    <w:rPr>
      <w:rFonts w:ascii="Arial" w:hAnsi="Arial" w:eastAsia="Arial" w:cs="Arial"/>
      <w:sz w:val="30"/>
      <w:szCs w:val="30"/>
    </w:rPr>
  </w:style>
  <w:style w:type="paragraph" w:styleId="6">
    <w:name w:val="heading 4"/>
    <w:basedOn w:val="1"/>
    <w:next w:val="1"/>
    <w:link w:val="42"/>
    <w:unhideWhenUsed/>
    <w:qFormat/>
    <w:uiPriority w:val="9"/>
    <w:pPr>
      <w:keepNext/>
      <w:keepLines/>
      <w:spacing w:before="320" w:after="200"/>
      <w:outlineLvl w:val="3"/>
    </w:pPr>
    <w:rPr>
      <w:rFonts w:ascii="Arial" w:hAnsi="Arial" w:eastAsia="Arial" w:cs="Arial"/>
      <w:b/>
      <w:bCs/>
      <w:sz w:val="26"/>
      <w:szCs w:val="26"/>
    </w:rPr>
  </w:style>
  <w:style w:type="paragraph" w:styleId="7">
    <w:name w:val="heading 5"/>
    <w:basedOn w:val="1"/>
    <w:next w:val="1"/>
    <w:link w:val="43"/>
    <w:unhideWhenUsed/>
    <w:qFormat/>
    <w:uiPriority w:val="9"/>
    <w:pPr>
      <w:keepNext/>
      <w:keepLines/>
      <w:spacing w:before="320" w:after="200"/>
      <w:outlineLvl w:val="4"/>
    </w:pPr>
    <w:rPr>
      <w:rFonts w:ascii="Arial" w:hAnsi="Arial" w:eastAsia="Arial" w:cs="Arial"/>
      <w:b/>
      <w:bCs/>
      <w:sz w:val="24"/>
    </w:rPr>
  </w:style>
  <w:style w:type="paragraph" w:styleId="8">
    <w:name w:val="heading 6"/>
    <w:basedOn w:val="1"/>
    <w:next w:val="1"/>
    <w:link w:val="44"/>
    <w:unhideWhenUsed/>
    <w:qFormat/>
    <w:uiPriority w:val="9"/>
    <w:pPr>
      <w:keepNext/>
      <w:keepLines/>
      <w:spacing w:before="320" w:after="200"/>
      <w:outlineLvl w:val="5"/>
    </w:pPr>
    <w:rPr>
      <w:rFonts w:ascii="Arial" w:hAnsi="Arial" w:eastAsia="Arial" w:cs="Arial"/>
      <w:b/>
      <w:bCs/>
      <w:sz w:val="22"/>
      <w:szCs w:val="22"/>
    </w:rPr>
  </w:style>
  <w:style w:type="paragraph" w:styleId="9">
    <w:name w:val="heading 7"/>
    <w:basedOn w:val="1"/>
    <w:next w:val="1"/>
    <w:link w:val="45"/>
    <w:unhideWhenUsed/>
    <w:qFormat/>
    <w:uiPriority w:val="9"/>
    <w:pPr>
      <w:keepNext/>
      <w:keepLines/>
      <w:spacing w:before="320" w:after="200"/>
      <w:outlineLvl w:val="6"/>
    </w:pPr>
    <w:rPr>
      <w:rFonts w:ascii="Arial" w:hAnsi="Arial" w:eastAsia="Arial" w:cs="Arial"/>
      <w:b/>
      <w:bCs/>
      <w:i/>
      <w:iCs/>
      <w:sz w:val="22"/>
      <w:szCs w:val="22"/>
    </w:rPr>
  </w:style>
  <w:style w:type="paragraph" w:styleId="10">
    <w:name w:val="heading 8"/>
    <w:basedOn w:val="1"/>
    <w:next w:val="1"/>
    <w:link w:val="46"/>
    <w:unhideWhenUsed/>
    <w:qFormat/>
    <w:uiPriority w:val="9"/>
    <w:pPr>
      <w:keepNext/>
      <w:keepLines/>
      <w:spacing w:before="320" w:after="200"/>
      <w:outlineLvl w:val="7"/>
    </w:pPr>
    <w:rPr>
      <w:rFonts w:ascii="Arial" w:hAnsi="Arial" w:eastAsia="Arial" w:cs="Arial"/>
      <w:i/>
      <w:iCs/>
      <w:sz w:val="22"/>
      <w:szCs w:val="22"/>
    </w:rPr>
  </w:style>
  <w:style w:type="paragraph" w:styleId="11">
    <w:name w:val="heading 9"/>
    <w:basedOn w:val="1"/>
    <w:next w:val="1"/>
    <w:link w:val="47"/>
    <w:unhideWhenUsed/>
    <w:qFormat/>
    <w:uiPriority w:val="9"/>
    <w:pPr>
      <w:keepNext/>
      <w:keepLines/>
      <w:spacing w:before="320" w:after="200"/>
      <w:outlineLvl w:val="8"/>
    </w:pPr>
    <w:rPr>
      <w:rFonts w:ascii="Arial" w:hAnsi="Arial" w:eastAsia="Arial" w:cs="Arial"/>
      <w:i/>
      <w:iCs/>
      <w:szCs w:val="21"/>
    </w:rPr>
  </w:style>
  <w:style w:type="character" w:default="1" w:styleId="34">
    <w:name w:val="Default Paragraph Font"/>
    <w:semiHidden/>
    <w:unhideWhenUsed/>
    <w:qFormat/>
    <w:uiPriority w:val="1"/>
  </w:style>
  <w:style w:type="table" w:default="1" w:styleId="32">
    <w:name w:val="Normal Table"/>
    <w:semiHidden/>
    <w:unhideWhenUsed/>
    <w:qFormat/>
    <w:uiPriority w:val="99"/>
    <w:tblPr>
      <w:tblCellMar>
        <w:top w:w="0" w:type="dxa"/>
        <w:left w:w="108" w:type="dxa"/>
        <w:bottom w:w="0" w:type="dxa"/>
        <w:right w:w="108" w:type="dxa"/>
      </w:tblCellMar>
    </w:tblPr>
  </w:style>
  <w:style w:type="paragraph" w:customStyle="1" w:styleId="2">
    <w:name w:val="正文缩进1"/>
    <w:basedOn w:val="1"/>
    <w:link w:val="207"/>
    <w:qFormat/>
    <w:uiPriority w:val="99"/>
    <w:pPr>
      <w:ind w:firstLine="420"/>
    </w:pPr>
    <w:rPr>
      <w:b/>
      <w:sz w:val="24"/>
      <w:szCs w:val="20"/>
    </w:rPr>
  </w:style>
  <w:style w:type="paragraph" w:styleId="12">
    <w:name w:val="toc 7"/>
    <w:basedOn w:val="1"/>
    <w:next w:val="1"/>
    <w:unhideWhenUsed/>
    <w:qFormat/>
    <w:uiPriority w:val="39"/>
    <w:pPr>
      <w:spacing w:after="57"/>
      <w:ind w:left="1701"/>
    </w:pPr>
  </w:style>
  <w:style w:type="paragraph" w:styleId="13">
    <w:name w:val="caption"/>
    <w:basedOn w:val="1"/>
    <w:next w:val="1"/>
    <w:semiHidden/>
    <w:unhideWhenUsed/>
    <w:qFormat/>
    <w:uiPriority w:val="35"/>
    <w:pPr>
      <w:spacing w:line="276" w:lineRule="auto"/>
    </w:pPr>
    <w:rPr>
      <w:b/>
      <w:bCs/>
      <w:color w:val="4F81BD"/>
      <w:sz w:val="18"/>
      <w:szCs w:val="18"/>
    </w:rPr>
  </w:style>
  <w:style w:type="paragraph" w:styleId="14">
    <w:name w:val="annotation text"/>
    <w:basedOn w:val="1"/>
    <w:semiHidden/>
    <w:unhideWhenUsed/>
    <w:qFormat/>
    <w:uiPriority w:val="99"/>
    <w:pPr>
      <w:jc w:val="left"/>
    </w:pPr>
  </w:style>
  <w:style w:type="paragraph" w:styleId="15">
    <w:name w:val="Body Text Indent"/>
    <w:basedOn w:val="1"/>
    <w:qFormat/>
    <w:uiPriority w:val="0"/>
    <w:pPr>
      <w:spacing w:line="360" w:lineRule="auto"/>
      <w:ind w:firstLine="420"/>
    </w:pPr>
    <w:rPr>
      <w:rFonts w:ascii="宋体"/>
      <w:sz w:val="24"/>
    </w:rPr>
  </w:style>
  <w:style w:type="paragraph" w:styleId="16">
    <w:name w:val="toc 5"/>
    <w:basedOn w:val="1"/>
    <w:next w:val="1"/>
    <w:unhideWhenUsed/>
    <w:qFormat/>
    <w:uiPriority w:val="39"/>
    <w:pPr>
      <w:spacing w:after="57"/>
      <w:ind w:left="1134"/>
    </w:pPr>
  </w:style>
  <w:style w:type="paragraph" w:styleId="17">
    <w:name w:val="toc 3"/>
    <w:basedOn w:val="1"/>
    <w:next w:val="1"/>
    <w:unhideWhenUsed/>
    <w:qFormat/>
    <w:uiPriority w:val="39"/>
    <w:pPr>
      <w:spacing w:after="57"/>
      <w:ind w:left="567"/>
    </w:pPr>
  </w:style>
  <w:style w:type="paragraph" w:styleId="18">
    <w:name w:val="Plain Text"/>
    <w:basedOn w:val="1"/>
    <w:qFormat/>
    <w:uiPriority w:val="0"/>
    <w:rPr>
      <w:rFonts w:ascii="宋体" w:hAnsi="Courier New"/>
      <w:sz w:val="28"/>
    </w:rPr>
  </w:style>
  <w:style w:type="paragraph" w:styleId="19">
    <w:name w:val="toc 8"/>
    <w:basedOn w:val="1"/>
    <w:next w:val="1"/>
    <w:unhideWhenUsed/>
    <w:qFormat/>
    <w:uiPriority w:val="39"/>
    <w:pPr>
      <w:spacing w:after="57"/>
      <w:ind w:left="1984"/>
    </w:pPr>
  </w:style>
  <w:style w:type="paragraph" w:styleId="20">
    <w:name w:val="endnote text"/>
    <w:basedOn w:val="1"/>
    <w:link w:val="184"/>
    <w:semiHidden/>
    <w:unhideWhenUsed/>
    <w:qFormat/>
    <w:uiPriority w:val="99"/>
    <w:pPr>
      <w:spacing w:line="240" w:lineRule="auto"/>
    </w:pPr>
    <w:rPr>
      <w:sz w:val="20"/>
    </w:rPr>
  </w:style>
  <w:style w:type="paragraph" w:styleId="21">
    <w:name w:val="footer"/>
    <w:basedOn w:val="1"/>
    <w:link w:val="57"/>
    <w:unhideWhenUsed/>
    <w:qFormat/>
    <w:uiPriority w:val="99"/>
    <w:pPr>
      <w:tabs>
        <w:tab w:val="center" w:pos="7143"/>
        <w:tab w:val="right" w:pos="14287"/>
      </w:tabs>
      <w:spacing w:line="240" w:lineRule="auto"/>
    </w:pPr>
  </w:style>
  <w:style w:type="paragraph" w:styleId="22">
    <w:name w:val="header"/>
    <w:basedOn w:val="1"/>
    <w:link w:val="55"/>
    <w:unhideWhenUsed/>
    <w:qFormat/>
    <w:uiPriority w:val="99"/>
    <w:pPr>
      <w:tabs>
        <w:tab w:val="center" w:pos="7143"/>
        <w:tab w:val="right" w:pos="14287"/>
      </w:tabs>
      <w:spacing w:line="240" w:lineRule="auto"/>
    </w:pPr>
  </w:style>
  <w:style w:type="paragraph" w:styleId="23">
    <w:name w:val="toc 1"/>
    <w:basedOn w:val="1"/>
    <w:next w:val="1"/>
    <w:unhideWhenUsed/>
    <w:qFormat/>
    <w:uiPriority w:val="39"/>
    <w:pPr>
      <w:spacing w:after="57"/>
    </w:pPr>
  </w:style>
  <w:style w:type="paragraph" w:styleId="24">
    <w:name w:val="toc 4"/>
    <w:basedOn w:val="1"/>
    <w:next w:val="1"/>
    <w:unhideWhenUsed/>
    <w:qFormat/>
    <w:uiPriority w:val="39"/>
    <w:pPr>
      <w:spacing w:after="57"/>
      <w:ind w:left="850"/>
    </w:pPr>
  </w:style>
  <w:style w:type="paragraph" w:styleId="25">
    <w:name w:val="Subtitle"/>
    <w:basedOn w:val="1"/>
    <w:next w:val="1"/>
    <w:link w:val="50"/>
    <w:qFormat/>
    <w:uiPriority w:val="11"/>
    <w:pPr>
      <w:spacing w:before="200" w:after="200"/>
    </w:pPr>
    <w:rPr>
      <w:sz w:val="24"/>
    </w:rPr>
  </w:style>
  <w:style w:type="paragraph" w:styleId="26">
    <w:name w:val="footnote text"/>
    <w:basedOn w:val="1"/>
    <w:link w:val="183"/>
    <w:semiHidden/>
    <w:unhideWhenUsed/>
    <w:qFormat/>
    <w:uiPriority w:val="99"/>
    <w:pPr>
      <w:spacing w:after="40" w:line="240" w:lineRule="auto"/>
    </w:pPr>
    <w:rPr>
      <w:sz w:val="18"/>
    </w:rPr>
  </w:style>
  <w:style w:type="paragraph" w:styleId="27">
    <w:name w:val="toc 6"/>
    <w:basedOn w:val="1"/>
    <w:next w:val="1"/>
    <w:unhideWhenUsed/>
    <w:qFormat/>
    <w:uiPriority w:val="39"/>
    <w:pPr>
      <w:spacing w:after="57"/>
      <w:ind w:left="1417"/>
    </w:pPr>
  </w:style>
  <w:style w:type="paragraph" w:styleId="28">
    <w:name w:val="table of figures"/>
    <w:basedOn w:val="1"/>
    <w:next w:val="1"/>
    <w:unhideWhenUsed/>
    <w:qFormat/>
    <w:uiPriority w:val="99"/>
  </w:style>
  <w:style w:type="paragraph" w:styleId="29">
    <w:name w:val="toc 2"/>
    <w:basedOn w:val="1"/>
    <w:next w:val="1"/>
    <w:unhideWhenUsed/>
    <w:qFormat/>
    <w:uiPriority w:val="39"/>
    <w:pPr>
      <w:spacing w:after="57"/>
      <w:ind w:left="283"/>
    </w:pPr>
  </w:style>
  <w:style w:type="paragraph" w:styleId="30">
    <w:name w:val="toc 9"/>
    <w:basedOn w:val="1"/>
    <w:next w:val="1"/>
    <w:unhideWhenUsed/>
    <w:qFormat/>
    <w:uiPriority w:val="39"/>
    <w:pPr>
      <w:spacing w:after="57"/>
      <w:ind w:left="2268"/>
    </w:pPr>
  </w:style>
  <w:style w:type="paragraph" w:styleId="31">
    <w:name w:val="Title"/>
    <w:basedOn w:val="1"/>
    <w:next w:val="1"/>
    <w:link w:val="49"/>
    <w:qFormat/>
    <w:uiPriority w:val="10"/>
    <w:pPr>
      <w:spacing w:before="300" w:after="200"/>
      <w:contextualSpacing/>
    </w:pPr>
    <w:rPr>
      <w:sz w:val="48"/>
      <w:szCs w:val="48"/>
    </w:rPr>
  </w:style>
  <w:style w:type="table" w:styleId="33">
    <w:name w:val="Table Grid"/>
    <w:qFormat/>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35">
    <w:name w:val="endnote reference"/>
    <w:semiHidden/>
    <w:unhideWhenUsed/>
    <w:qFormat/>
    <w:uiPriority w:val="99"/>
    <w:rPr>
      <w:vertAlign w:val="superscript"/>
    </w:rPr>
  </w:style>
  <w:style w:type="character" w:styleId="36">
    <w:name w:val="Hyperlink"/>
    <w:unhideWhenUsed/>
    <w:qFormat/>
    <w:uiPriority w:val="99"/>
    <w:rPr>
      <w:color w:val="0000FF"/>
      <w:u w:val="single"/>
    </w:rPr>
  </w:style>
  <w:style w:type="character" w:styleId="37">
    <w:name w:val="footnote reference"/>
    <w:unhideWhenUsed/>
    <w:qFormat/>
    <w:uiPriority w:val="99"/>
    <w:rPr>
      <w:vertAlign w:val="superscript"/>
    </w:rPr>
  </w:style>
  <w:style w:type="paragraph" w:customStyle="1" w:styleId="38">
    <w:name w:val="文本块1"/>
    <w:basedOn w:val="1"/>
    <w:qFormat/>
    <w:uiPriority w:val="99"/>
    <w:pPr>
      <w:widowControl/>
      <w:spacing w:line="360" w:lineRule="auto"/>
      <w:ind w:left="630" w:right="-609" w:firstLine="420"/>
      <w:jc w:val="left"/>
    </w:pPr>
    <w:rPr>
      <w:rFonts w:hint="eastAsia" w:ascii="仿宋_GB2312" w:eastAsia="仿宋_GB2312"/>
      <w:sz w:val="24"/>
      <w:szCs w:val="20"/>
    </w:rPr>
  </w:style>
  <w:style w:type="character" w:customStyle="1" w:styleId="39">
    <w:name w:val="标题 1 字符1"/>
    <w:link w:val="3"/>
    <w:qFormat/>
    <w:uiPriority w:val="9"/>
    <w:rPr>
      <w:rFonts w:ascii="Arial" w:hAnsi="Arial" w:eastAsia="Arial" w:cs="Arial"/>
      <w:sz w:val="40"/>
      <w:szCs w:val="40"/>
    </w:rPr>
  </w:style>
  <w:style w:type="character" w:customStyle="1" w:styleId="40">
    <w:name w:val="标题 2 字符1"/>
    <w:link w:val="4"/>
    <w:qFormat/>
    <w:uiPriority w:val="9"/>
    <w:rPr>
      <w:rFonts w:ascii="Arial" w:hAnsi="Arial" w:eastAsia="Arial" w:cs="Arial"/>
      <w:sz w:val="34"/>
    </w:rPr>
  </w:style>
  <w:style w:type="character" w:customStyle="1" w:styleId="41">
    <w:name w:val="标题 3 字符2"/>
    <w:link w:val="5"/>
    <w:qFormat/>
    <w:uiPriority w:val="9"/>
    <w:rPr>
      <w:rFonts w:ascii="Arial" w:hAnsi="Arial" w:eastAsia="Arial" w:cs="Arial"/>
      <w:sz w:val="30"/>
      <w:szCs w:val="30"/>
    </w:rPr>
  </w:style>
  <w:style w:type="character" w:customStyle="1" w:styleId="42">
    <w:name w:val="标题 4 字符1"/>
    <w:link w:val="6"/>
    <w:qFormat/>
    <w:uiPriority w:val="9"/>
    <w:rPr>
      <w:rFonts w:ascii="Arial" w:hAnsi="Arial" w:eastAsia="Arial" w:cs="Arial"/>
      <w:b/>
      <w:bCs/>
      <w:sz w:val="26"/>
      <w:szCs w:val="26"/>
    </w:rPr>
  </w:style>
  <w:style w:type="character" w:customStyle="1" w:styleId="43">
    <w:name w:val="标题 5 字符1"/>
    <w:link w:val="7"/>
    <w:qFormat/>
    <w:uiPriority w:val="9"/>
    <w:rPr>
      <w:rFonts w:ascii="Arial" w:hAnsi="Arial" w:eastAsia="Arial" w:cs="Arial"/>
      <w:b/>
      <w:bCs/>
      <w:sz w:val="24"/>
      <w:szCs w:val="24"/>
    </w:rPr>
  </w:style>
  <w:style w:type="character" w:customStyle="1" w:styleId="44">
    <w:name w:val="标题 6 字符1"/>
    <w:link w:val="8"/>
    <w:qFormat/>
    <w:uiPriority w:val="9"/>
    <w:rPr>
      <w:rFonts w:ascii="Arial" w:hAnsi="Arial" w:eastAsia="Arial" w:cs="Arial"/>
      <w:b/>
      <w:bCs/>
      <w:sz w:val="22"/>
      <w:szCs w:val="22"/>
    </w:rPr>
  </w:style>
  <w:style w:type="character" w:customStyle="1" w:styleId="45">
    <w:name w:val="标题 7 字符1"/>
    <w:link w:val="9"/>
    <w:qFormat/>
    <w:uiPriority w:val="9"/>
    <w:rPr>
      <w:rFonts w:ascii="Arial" w:hAnsi="Arial" w:eastAsia="Arial" w:cs="Arial"/>
      <w:b/>
      <w:bCs/>
      <w:i/>
      <w:iCs/>
      <w:sz w:val="22"/>
      <w:szCs w:val="22"/>
    </w:rPr>
  </w:style>
  <w:style w:type="character" w:customStyle="1" w:styleId="46">
    <w:name w:val="标题 8 字符1"/>
    <w:link w:val="10"/>
    <w:qFormat/>
    <w:uiPriority w:val="9"/>
    <w:rPr>
      <w:rFonts w:ascii="Arial" w:hAnsi="Arial" w:eastAsia="Arial" w:cs="Arial"/>
      <w:i/>
      <w:iCs/>
      <w:sz w:val="22"/>
      <w:szCs w:val="22"/>
    </w:rPr>
  </w:style>
  <w:style w:type="character" w:customStyle="1" w:styleId="47">
    <w:name w:val="标题 9 字符1"/>
    <w:link w:val="11"/>
    <w:qFormat/>
    <w:uiPriority w:val="9"/>
    <w:rPr>
      <w:rFonts w:ascii="Arial" w:hAnsi="Arial" w:eastAsia="Arial" w:cs="Arial"/>
      <w:i/>
      <w:iCs/>
      <w:sz w:val="21"/>
      <w:szCs w:val="21"/>
    </w:rPr>
  </w:style>
  <w:style w:type="paragraph" w:styleId="48">
    <w:name w:val="No Spacing"/>
    <w:qFormat/>
    <w:uiPriority w:val="1"/>
    <w:rPr>
      <w:rFonts w:ascii="Times New Roman" w:hAnsi="Times New Roman" w:eastAsia="宋体" w:cs="Times New Roman"/>
      <w:lang w:val="en-US" w:eastAsia="zh-CN" w:bidi="ar-SA"/>
    </w:rPr>
  </w:style>
  <w:style w:type="character" w:customStyle="1" w:styleId="49">
    <w:name w:val="标题 字符1"/>
    <w:link w:val="31"/>
    <w:qFormat/>
    <w:uiPriority w:val="10"/>
    <w:rPr>
      <w:sz w:val="48"/>
      <w:szCs w:val="48"/>
    </w:rPr>
  </w:style>
  <w:style w:type="character" w:customStyle="1" w:styleId="50">
    <w:name w:val="副标题 字符1"/>
    <w:link w:val="25"/>
    <w:qFormat/>
    <w:uiPriority w:val="11"/>
    <w:rPr>
      <w:sz w:val="24"/>
      <w:szCs w:val="24"/>
    </w:rPr>
  </w:style>
  <w:style w:type="paragraph" w:styleId="51">
    <w:name w:val="Quote"/>
    <w:basedOn w:val="1"/>
    <w:next w:val="1"/>
    <w:link w:val="52"/>
    <w:qFormat/>
    <w:uiPriority w:val="29"/>
    <w:pPr>
      <w:ind w:left="720" w:right="720"/>
    </w:pPr>
    <w:rPr>
      <w:i/>
    </w:rPr>
  </w:style>
  <w:style w:type="character" w:customStyle="1" w:styleId="52">
    <w:name w:val="引用 字符1"/>
    <w:link w:val="51"/>
    <w:qFormat/>
    <w:uiPriority w:val="29"/>
    <w:rPr>
      <w:i/>
    </w:rPr>
  </w:style>
  <w:style w:type="paragraph" w:styleId="53">
    <w:name w:val="Intense Quote"/>
    <w:basedOn w:val="1"/>
    <w:next w:val="1"/>
    <w:link w:val="54"/>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pPr>
    <w:rPr>
      <w:i/>
    </w:rPr>
  </w:style>
  <w:style w:type="character" w:customStyle="1" w:styleId="54">
    <w:name w:val="明显引用 字符1"/>
    <w:link w:val="53"/>
    <w:qFormat/>
    <w:uiPriority w:val="30"/>
    <w:rPr>
      <w:i/>
    </w:rPr>
  </w:style>
  <w:style w:type="character" w:customStyle="1" w:styleId="55">
    <w:name w:val="页眉 字符1"/>
    <w:link w:val="22"/>
    <w:qFormat/>
    <w:uiPriority w:val="99"/>
  </w:style>
  <w:style w:type="character" w:customStyle="1" w:styleId="56">
    <w:name w:val="Footer Char"/>
    <w:qFormat/>
    <w:uiPriority w:val="99"/>
  </w:style>
  <w:style w:type="character" w:customStyle="1" w:styleId="57">
    <w:name w:val="页脚 字符1"/>
    <w:link w:val="21"/>
    <w:qFormat/>
    <w:uiPriority w:val="99"/>
  </w:style>
  <w:style w:type="table" w:customStyle="1" w:styleId="58">
    <w:name w:val="Table Grid Light"/>
    <w:qFormat/>
    <w:uiPriority w:val="59"/>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top w:w="0" w:type="dxa"/>
        <w:left w:w="108" w:type="dxa"/>
        <w:bottom w:w="0" w:type="dxa"/>
        <w:right w:w="108" w:type="dxa"/>
      </w:tblCellMar>
    </w:tblPr>
  </w:style>
  <w:style w:type="table" w:customStyle="1" w:styleId="59">
    <w:name w:val="无格式表格 11"/>
    <w:qFormat/>
    <w:uiPriority w:val="59"/>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top w:w="0" w:type="dxa"/>
        <w:left w:w="108" w:type="dxa"/>
        <w:bottom w:w="0" w:type="dxa"/>
        <w:right w:w="108" w:type="dxa"/>
      </w:tblCellMar>
    </w:tblPr>
  </w:style>
  <w:style w:type="table" w:customStyle="1" w:styleId="60">
    <w:name w:val="无格式表格 21"/>
    <w:qFormat/>
    <w:uiPriority w:val="59"/>
    <w:tblPr>
      <w:tblBorders>
        <w:top w:val="single" w:color="000000" w:sz="4" w:space="0"/>
        <w:left w:val="none" w:color="000000" w:sz="4" w:space="0"/>
        <w:bottom w:val="single" w:color="000000" w:sz="4" w:space="0"/>
        <w:right w:val="none" w:color="000000" w:sz="4" w:space="0"/>
      </w:tblBorders>
      <w:tblCellMar>
        <w:top w:w="0" w:type="dxa"/>
        <w:left w:w="108" w:type="dxa"/>
        <w:bottom w:w="0" w:type="dxa"/>
        <w:right w:w="108" w:type="dxa"/>
      </w:tblCellMar>
    </w:tblPr>
  </w:style>
  <w:style w:type="table" w:customStyle="1" w:styleId="61">
    <w:name w:val="无格式表格 31"/>
    <w:qFormat/>
    <w:uiPriority w:val="99"/>
    <w:tblPr>
      <w:tblCellMar>
        <w:top w:w="0" w:type="dxa"/>
        <w:left w:w="0" w:type="dxa"/>
        <w:bottom w:w="0" w:type="dxa"/>
        <w:right w:w="0" w:type="dxa"/>
      </w:tblCellMar>
    </w:tblPr>
  </w:style>
  <w:style w:type="table" w:customStyle="1" w:styleId="62">
    <w:name w:val="无格式表格 41"/>
    <w:qFormat/>
    <w:uiPriority w:val="99"/>
    <w:tblPr>
      <w:tblCellMar>
        <w:top w:w="0" w:type="dxa"/>
        <w:left w:w="0" w:type="dxa"/>
        <w:bottom w:w="0" w:type="dxa"/>
        <w:right w:w="0" w:type="dxa"/>
      </w:tblCellMar>
    </w:tblPr>
  </w:style>
  <w:style w:type="table" w:customStyle="1" w:styleId="63">
    <w:name w:val="无格式表格 51"/>
    <w:qFormat/>
    <w:uiPriority w:val="99"/>
    <w:tblPr>
      <w:tblCellMar>
        <w:top w:w="0" w:type="dxa"/>
        <w:left w:w="0" w:type="dxa"/>
        <w:bottom w:w="0" w:type="dxa"/>
        <w:right w:w="0" w:type="dxa"/>
      </w:tblCellMar>
    </w:tblPr>
  </w:style>
  <w:style w:type="table" w:customStyle="1" w:styleId="64">
    <w:name w:val="网格表 1 浅色1"/>
    <w:qFormat/>
    <w:uiPriority w:val="99"/>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top w:w="0" w:type="dxa"/>
        <w:left w:w="0" w:type="dxa"/>
        <w:bottom w:w="0" w:type="dxa"/>
        <w:right w:w="0" w:type="dxa"/>
      </w:tblCellMar>
    </w:tblPr>
  </w:style>
  <w:style w:type="table" w:customStyle="1" w:styleId="65">
    <w:name w:val="Grid Table 1 Light - Accent 1"/>
    <w:qFormat/>
    <w:uiPriority w:val="99"/>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top w:w="0" w:type="dxa"/>
        <w:left w:w="0" w:type="dxa"/>
        <w:bottom w:w="0" w:type="dxa"/>
        <w:right w:w="0" w:type="dxa"/>
      </w:tblCellMar>
    </w:tblPr>
  </w:style>
  <w:style w:type="table" w:customStyle="1" w:styleId="66">
    <w:name w:val="Grid Table 1 Light - Accent 2"/>
    <w:qFormat/>
    <w:uiPriority w:val="99"/>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top w:w="0" w:type="dxa"/>
        <w:left w:w="0" w:type="dxa"/>
        <w:bottom w:w="0" w:type="dxa"/>
        <w:right w:w="0" w:type="dxa"/>
      </w:tblCellMar>
    </w:tblPr>
  </w:style>
  <w:style w:type="table" w:customStyle="1" w:styleId="67">
    <w:name w:val="Grid Table 1 Light - Accent 3"/>
    <w:qFormat/>
    <w:uiPriority w:val="99"/>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top w:w="0" w:type="dxa"/>
        <w:left w:w="0" w:type="dxa"/>
        <w:bottom w:w="0" w:type="dxa"/>
        <w:right w:w="0" w:type="dxa"/>
      </w:tblCellMar>
    </w:tblPr>
  </w:style>
  <w:style w:type="table" w:customStyle="1" w:styleId="68">
    <w:name w:val="Grid Table 1 Light - Accent 4"/>
    <w:qFormat/>
    <w:uiPriority w:val="99"/>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top w:w="0" w:type="dxa"/>
        <w:left w:w="0" w:type="dxa"/>
        <w:bottom w:w="0" w:type="dxa"/>
        <w:right w:w="0" w:type="dxa"/>
      </w:tblCellMar>
    </w:tblPr>
  </w:style>
  <w:style w:type="table" w:customStyle="1" w:styleId="69">
    <w:name w:val="Grid Table 1 Light - Accent 5"/>
    <w:qFormat/>
    <w:uiPriority w:val="99"/>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top w:w="0" w:type="dxa"/>
        <w:left w:w="0" w:type="dxa"/>
        <w:bottom w:w="0" w:type="dxa"/>
        <w:right w:w="0" w:type="dxa"/>
      </w:tblCellMar>
    </w:tblPr>
  </w:style>
  <w:style w:type="table" w:customStyle="1" w:styleId="70">
    <w:name w:val="Grid Table 1 Light - Accent 6"/>
    <w:qFormat/>
    <w:uiPriority w:val="99"/>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top w:w="0" w:type="dxa"/>
        <w:left w:w="0" w:type="dxa"/>
        <w:bottom w:w="0" w:type="dxa"/>
        <w:right w:w="0" w:type="dxa"/>
      </w:tblCellMar>
    </w:tblPr>
  </w:style>
  <w:style w:type="table" w:customStyle="1" w:styleId="71">
    <w:name w:val="网格表 21"/>
    <w:qFormat/>
    <w:uiPriority w:val="99"/>
    <w:tblPr>
      <w:tblBorders>
        <w:bottom w:val="single" w:color="6A6A6A" w:sz="4" w:space="0"/>
        <w:insideH w:val="single" w:color="6A6A6A" w:sz="4" w:space="0"/>
        <w:insideV w:val="single" w:color="6A6A6A" w:sz="4" w:space="0"/>
      </w:tblBorders>
      <w:tblCellMar>
        <w:top w:w="0" w:type="dxa"/>
        <w:left w:w="0" w:type="dxa"/>
        <w:bottom w:w="0" w:type="dxa"/>
        <w:right w:w="0" w:type="dxa"/>
      </w:tblCellMar>
    </w:tblPr>
  </w:style>
  <w:style w:type="table" w:customStyle="1" w:styleId="72">
    <w:name w:val="Grid Table 2 - Accent 1"/>
    <w:qFormat/>
    <w:uiPriority w:val="99"/>
    <w:tblPr>
      <w:tblBorders>
        <w:bottom w:val="single" w:color="5D8AC2" w:sz="4" w:space="0"/>
        <w:insideH w:val="single" w:color="5D8AC2" w:sz="4" w:space="0"/>
        <w:insideV w:val="single" w:color="5D8AC2" w:sz="4" w:space="0"/>
      </w:tblBorders>
      <w:tblCellMar>
        <w:top w:w="0" w:type="dxa"/>
        <w:left w:w="0" w:type="dxa"/>
        <w:bottom w:w="0" w:type="dxa"/>
        <w:right w:w="0" w:type="dxa"/>
      </w:tblCellMar>
    </w:tblPr>
  </w:style>
  <w:style w:type="table" w:customStyle="1" w:styleId="73">
    <w:name w:val="Grid Table 2 - Accent 2"/>
    <w:qFormat/>
    <w:uiPriority w:val="99"/>
    <w:tblPr>
      <w:tblBorders>
        <w:bottom w:val="single" w:color="D99695" w:sz="4" w:space="0"/>
        <w:insideH w:val="single" w:color="D99695" w:sz="4" w:space="0"/>
        <w:insideV w:val="single" w:color="D99695" w:sz="4" w:space="0"/>
      </w:tblBorders>
      <w:tblCellMar>
        <w:top w:w="0" w:type="dxa"/>
        <w:left w:w="0" w:type="dxa"/>
        <w:bottom w:w="0" w:type="dxa"/>
        <w:right w:w="0" w:type="dxa"/>
      </w:tblCellMar>
    </w:tblPr>
  </w:style>
  <w:style w:type="table" w:customStyle="1" w:styleId="74">
    <w:name w:val="Grid Table 2 - Accent 3"/>
    <w:qFormat/>
    <w:uiPriority w:val="99"/>
    <w:tblPr>
      <w:tblBorders>
        <w:bottom w:val="single" w:color="9ABB59" w:sz="4" w:space="0"/>
        <w:insideH w:val="single" w:color="9ABB59" w:sz="4" w:space="0"/>
        <w:insideV w:val="single" w:color="9ABB59" w:sz="4" w:space="0"/>
      </w:tblBorders>
      <w:tblCellMar>
        <w:top w:w="0" w:type="dxa"/>
        <w:left w:w="0" w:type="dxa"/>
        <w:bottom w:w="0" w:type="dxa"/>
        <w:right w:w="0" w:type="dxa"/>
      </w:tblCellMar>
    </w:tblPr>
  </w:style>
  <w:style w:type="table" w:customStyle="1" w:styleId="75">
    <w:name w:val="Grid Table 2 - Accent 4"/>
    <w:qFormat/>
    <w:uiPriority w:val="99"/>
    <w:tblPr>
      <w:tblBorders>
        <w:bottom w:val="single" w:color="B2A1C6" w:sz="4" w:space="0"/>
        <w:insideH w:val="single" w:color="B2A1C6" w:sz="4" w:space="0"/>
        <w:insideV w:val="single" w:color="B2A1C6" w:sz="4" w:space="0"/>
      </w:tblBorders>
      <w:tblCellMar>
        <w:top w:w="0" w:type="dxa"/>
        <w:left w:w="0" w:type="dxa"/>
        <w:bottom w:w="0" w:type="dxa"/>
        <w:right w:w="0" w:type="dxa"/>
      </w:tblCellMar>
    </w:tblPr>
  </w:style>
  <w:style w:type="table" w:customStyle="1" w:styleId="76">
    <w:name w:val="Grid Table 2 - Accent 5"/>
    <w:qFormat/>
    <w:uiPriority w:val="99"/>
    <w:tblPr>
      <w:tblBorders>
        <w:bottom w:val="single" w:color="4BACC6" w:sz="4" w:space="0"/>
        <w:insideH w:val="single" w:color="4BACC6" w:sz="4" w:space="0"/>
        <w:insideV w:val="single" w:color="4BACC6" w:sz="4" w:space="0"/>
      </w:tblBorders>
      <w:tblCellMar>
        <w:top w:w="0" w:type="dxa"/>
        <w:left w:w="0" w:type="dxa"/>
        <w:bottom w:w="0" w:type="dxa"/>
        <w:right w:w="0" w:type="dxa"/>
      </w:tblCellMar>
    </w:tblPr>
  </w:style>
  <w:style w:type="table" w:customStyle="1" w:styleId="77">
    <w:name w:val="Grid Table 2 - Accent 6"/>
    <w:qFormat/>
    <w:uiPriority w:val="99"/>
    <w:tblPr>
      <w:tblBorders>
        <w:bottom w:val="single" w:color="F79646" w:sz="4" w:space="0"/>
        <w:insideH w:val="single" w:color="F79646" w:sz="4" w:space="0"/>
        <w:insideV w:val="single" w:color="F79646" w:sz="4" w:space="0"/>
      </w:tblBorders>
      <w:tblCellMar>
        <w:top w:w="0" w:type="dxa"/>
        <w:left w:w="0" w:type="dxa"/>
        <w:bottom w:w="0" w:type="dxa"/>
        <w:right w:w="0" w:type="dxa"/>
      </w:tblCellMar>
    </w:tblPr>
  </w:style>
  <w:style w:type="table" w:customStyle="1" w:styleId="78">
    <w:name w:val="网格表 31"/>
    <w:qFormat/>
    <w:uiPriority w:val="99"/>
    <w:tblPr>
      <w:tblBorders>
        <w:bottom w:val="single" w:color="6A6A6A" w:sz="4" w:space="0"/>
        <w:insideH w:val="single" w:color="6A6A6A" w:sz="4" w:space="0"/>
        <w:insideV w:val="single" w:color="6A6A6A" w:sz="4" w:space="0"/>
      </w:tblBorders>
      <w:tblCellMar>
        <w:top w:w="0" w:type="dxa"/>
        <w:left w:w="0" w:type="dxa"/>
        <w:bottom w:w="0" w:type="dxa"/>
        <w:right w:w="0" w:type="dxa"/>
      </w:tblCellMar>
    </w:tblPr>
  </w:style>
  <w:style w:type="table" w:customStyle="1" w:styleId="79">
    <w:name w:val="Grid Table 3 - Accent 1"/>
    <w:qFormat/>
    <w:uiPriority w:val="99"/>
    <w:tblPr>
      <w:tblBorders>
        <w:bottom w:val="single" w:color="5D8AC2" w:sz="4" w:space="0"/>
        <w:insideH w:val="single" w:color="5D8AC2" w:sz="4" w:space="0"/>
        <w:insideV w:val="single" w:color="5D8AC2" w:sz="4" w:space="0"/>
      </w:tblBorders>
      <w:tblCellMar>
        <w:top w:w="0" w:type="dxa"/>
        <w:left w:w="0" w:type="dxa"/>
        <w:bottom w:w="0" w:type="dxa"/>
        <w:right w:w="0" w:type="dxa"/>
      </w:tblCellMar>
    </w:tblPr>
  </w:style>
  <w:style w:type="table" w:customStyle="1" w:styleId="80">
    <w:name w:val="Grid Table 3 - Accent 2"/>
    <w:qFormat/>
    <w:uiPriority w:val="99"/>
    <w:tblPr>
      <w:tblBorders>
        <w:bottom w:val="single" w:color="D99695" w:sz="4" w:space="0"/>
        <w:insideH w:val="single" w:color="D99695" w:sz="4" w:space="0"/>
        <w:insideV w:val="single" w:color="D99695" w:sz="4" w:space="0"/>
      </w:tblBorders>
      <w:tblCellMar>
        <w:top w:w="0" w:type="dxa"/>
        <w:left w:w="0" w:type="dxa"/>
        <w:bottom w:w="0" w:type="dxa"/>
        <w:right w:w="0" w:type="dxa"/>
      </w:tblCellMar>
    </w:tblPr>
  </w:style>
  <w:style w:type="table" w:customStyle="1" w:styleId="81">
    <w:name w:val="Grid Table 3 - Accent 3"/>
    <w:qFormat/>
    <w:uiPriority w:val="99"/>
    <w:tblPr>
      <w:tblBorders>
        <w:bottom w:val="single" w:color="9ABB59" w:sz="4" w:space="0"/>
        <w:insideH w:val="single" w:color="9ABB59" w:sz="4" w:space="0"/>
        <w:insideV w:val="single" w:color="9ABB59" w:sz="4" w:space="0"/>
      </w:tblBorders>
      <w:tblCellMar>
        <w:top w:w="0" w:type="dxa"/>
        <w:left w:w="0" w:type="dxa"/>
        <w:bottom w:w="0" w:type="dxa"/>
        <w:right w:w="0" w:type="dxa"/>
      </w:tblCellMar>
    </w:tblPr>
  </w:style>
  <w:style w:type="table" w:customStyle="1" w:styleId="82">
    <w:name w:val="Grid Table 3 - Accent 4"/>
    <w:qFormat/>
    <w:uiPriority w:val="99"/>
    <w:tblPr>
      <w:tblBorders>
        <w:bottom w:val="single" w:color="B2A1C6" w:sz="4" w:space="0"/>
        <w:insideH w:val="single" w:color="B2A1C6" w:sz="4" w:space="0"/>
        <w:insideV w:val="single" w:color="B2A1C6" w:sz="4" w:space="0"/>
      </w:tblBorders>
      <w:tblCellMar>
        <w:top w:w="0" w:type="dxa"/>
        <w:left w:w="0" w:type="dxa"/>
        <w:bottom w:w="0" w:type="dxa"/>
        <w:right w:w="0" w:type="dxa"/>
      </w:tblCellMar>
    </w:tblPr>
  </w:style>
  <w:style w:type="table" w:customStyle="1" w:styleId="83">
    <w:name w:val="Grid Table 3 - Accent 5"/>
    <w:qFormat/>
    <w:uiPriority w:val="99"/>
    <w:tblPr>
      <w:tblBorders>
        <w:bottom w:val="single" w:color="4BACC6" w:sz="4" w:space="0"/>
        <w:insideH w:val="single" w:color="4BACC6" w:sz="4" w:space="0"/>
        <w:insideV w:val="single" w:color="4BACC6" w:sz="4" w:space="0"/>
      </w:tblBorders>
      <w:tblCellMar>
        <w:top w:w="0" w:type="dxa"/>
        <w:left w:w="0" w:type="dxa"/>
        <w:bottom w:w="0" w:type="dxa"/>
        <w:right w:w="0" w:type="dxa"/>
      </w:tblCellMar>
    </w:tblPr>
  </w:style>
  <w:style w:type="table" w:customStyle="1" w:styleId="84">
    <w:name w:val="Grid Table 3 - Accent 6"/>
    <w:qFormat/>
    <w:uiPriority w:val="99"/>
    <w:tblPr>
      <w:tblBorders>
        <w:bottom w:val="single" w:color="F79646" w:sz="4" w:space="0"/>
        <w:insideH w:val="single" w:color="F79646" w:sz="4" w:space="0"/>
        <w:insideV w:val="single" w:color="F79646" w:sz="4" w:space="0"/>
      </w:tblBorders>
      <w:tblCellMar>
        <w:top w:w="0" w:type="dxa"/>
        <w:left w:w="0" w:type="dxa"/>
        <w:bottom w:w="0" w:type="dxa"/>
        <w:right w:w="0" w:type="dxa"/>
      </w:tblCellMar>
    </w:tblPr>
  </w:style>
  <w:style w:type="table" w:customStyle="1" w:styleId="85">
    <w:name w:val="网格表 41"/>
    <w:qFormat/>
    <w:uiPriority w:val="59"/>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top w:w="0" w:type="dxa"/>
        <w:left w:w="0" w:type="dxa"/>
        <w:bottom w:w="0" w:type="dxa"/>
        <w:right w:w="0" w:type="dxa"/>
      </w:tblCellMar>
    </w:tblPr>
  </w:style>
  <w:style w:type="table" w:customStyle="1" w:styleId="86">
    <w:name w:val="Grid Table 4 - Accent 1"/>
    <w:qFormat/>
    <w:uiPriority w:val="59"/>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top w:w="0" w:type="dxa"/>
        <w:left w:w="0" w:type="dxa"/>
        <w:bottom w:w="0" w:type="dxa"/>
        <w:right w:w="0" w:type="dxa"/>
      </w:tblCellMar>
    </w:tblPr>
  </w:style>
  <w:style w:type="table" w:customStyle="1" w:styleId="87">
    <w:name w:val="Grid Table 4 - Accent 2"/>
    <w:qFormat/>
    <w:uiPriority w:val="59"/>
    <w:tblPr>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CellMar>
        <w:top w:w="0" w:type="dxa"/>
        <w:left w:w="0" w:type="dxa"/>
        <w:bottom w:w="0" w:type="dxa"/>
        <w:right w:w="0" w:type="dxa"/>
      </w:tblCellMar>
    </w:tblPr>
  </w:style>
  <w:style w:type="table" w:customStyle="1" w:styleId="88">
    <w:name w:val="Grid Table 4 - Accent 3"/>
    <w:qFormat/>
    <w:uiPriority w:val="59"/>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top w:w="0" w:type="dxa"/>
        <w:left w:w="0" w:type="dxa"/>
        <w:bottom w:w="0" w:type="dxa"/>
        <w:right w:w="0" w:type="dxa"/>
      </w:tblCellMar>
    </w:tblPr>
  </w:style>
  <w:style w:type="table" w:customStyle="1" w:styleId="89">
    <w:name w:val="Grid Table 4 - Accent 4"/>
    <w:qFormat/>
    <w:uiPriority w:val="59"/>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top w:w="0" w:type="dxa"/>
        <w:left w:w="0" w:type="dxa"/>
        <w:bottom w:w="0" w:type="dxa"/>
        <w:right w:w="0" w:type="dxa"/>
      </w:tblCellMar>
    </w:tblPr>
  </w:style>
  <w:style w:type="table" w:customStyle="1" w:styleId="90">
    <w:name w:val="Grid Table 4 - Accent 5"/>
    <w:qFormat/>
    <w:uiPriority w:val="59"/>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top w:w="0" w:type="dxa"/>
        <w:left w:w="0" w:type="dxa"/>
        <w:bottom w:w="0" w:type="dxa"/>
        <w:right w:w="0" w:type="dxa"/>
      </w:tblCellMar>
    </w:tblPr>
  </w:style>
  <w:style w:type="table" w:customStyle="1" w:styleId="91">
    <w:name w:val="Grid Table 4 - Accent 6"/>
    <w:qFormat/>
    <w:uiPriority w:val="59"/>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top w:w="0" w:type="dxa"/>
        <w:left w:w="0" w:type="dxa"/>
        <w:bottom w:w="0" w:type="dxa"/>
        <w:right w:w="0" w:type="dxa"/>
      </w:tblCellMar>
    </w:tblPr>
  </w:style>
  <w:style w:type="table" w:customStyle="1" w:styleId="92">
    <w:name w:val="网格表 5 深色1"/>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
  </w:style>
  <w:style w:type="table" w:customStyle="1" w:styleId="93">
    <w:name w:val="Grid Table 5 Dark- Accent 1"/>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
  </w:style>
  <w:style w:type="table" w:customStyle="1" w:styleId="94">
    <w:name w:val="Grid Table 5 Dark - Accent 2"/>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
  </w:style>
  <w:style w:type="table" w:customStyle="1" w:styleId="95">
    <w:name w:val="Grid Table 5 Dark - Accent 3"/>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
  </w:style>
  <w:style w:type="table" w:customStyle="1" w:styleId="96">
    <w:name w:val="Grid Table 5 Dark- Accent 4"/>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
  </w:style>
  <w:style w:type="table" w:customStyle="1" w:styleId="97">
    <w:name w:val="Grid Table 5 Dark - Accent 5"/>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
  </w:style>
  <w:style w:type="table" w:customStyle="1" w:styleId="98">
    <w:name w:val="Grid Table 5 Dark - Accent 6"/>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
  </w:style>
  <w:style w:type="table" w:customStyle="1" w:styleId="99">
    <w:name w:val="网格表 6 彩色1"/>
    <w:qFormat/>
    <w:uiPriority w:val="99"/>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top w:w="0" w:type="dxa"/>
        <w:left w:w="0" w:type="dxa"/>
        <w:bottom w:w="0" w:type="dxa"/>
        <w:right w:w="0" w:type="dxa"/>
      </w:tblCellMar>
    </w:tblPr>
  </w:style>
  <w:style w:type="table" w:customStyle="1" w:styleId="100">
    <w:name w:val="Grid Table 6 Colorful - Accent 1"/>
    <w:qFormat/>
    <w:uiPriority w:val="99"/>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top w:w="0" w:type="dxa"/>
        <w:left w:w="0" w:type="dxa"/>
        <w:bottom w:w="0" w:type="dxa"/>
        <w:right w:w="0" w:type="dxa"/>
      </w:tblCellMar>
    </w:tblPr>
  </w:style>
  <w:style w:type="table" w:customStyle="1" w:styleId="101">
    <w:name w:val="Grid Table 6 Colorful - Accent 2"/>
    <w:qFormat/>
    <w:uiPriority w:val="99"/>
    <w:tblPr>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CellMar>
        <w:top w:w="0" w:type="dxa"/>
        <w:left w:w="0" w:type="dxa"/>
        <w:bottom w:w="0" w:type="dxa"/>
        <w:right w:w="0" w:type="dxa"/>
      </w:tblCellMar>
    </w:tblPr>
  </w:style>
  <w:style w:type="table" w:customStyle="1" w:styleId="102">
    <w:name w:val="Grid Table 6 Colorful - Accent 3"/>
    <w:qFormat/>
    <w:uiPriority w:val="99"/>
    <w:tblPr>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CellMar>
        <w:top w:w="0" w:type="dxa"/>
        <w:left w:w="0" w:type="dxa"/>
        <w:bottom w:w="0" w:type="dxa"/>
        <w:right w:w="0" w:type="dxa"/>
      </w:tblCellMar>
    </w:tblPr>
  </w:style>
  <w:style w:type="table" w:customStyle="1" w:styleId="103">
    <w:name w:val="Grid Table 6 Colorful - Accent 4"/>
    <w:qFormat/>
    <w:uiPriority w:val="99"/>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top w:w="0" w:type="dxa"/>
        <w:left w:w="0" w:type="dxa"/>
        <w:bottom w:w="0" w:type="dxa"/>
        <w:right w:w="0" w:type="dxa"/>
      </w:tblCellMar>
    </w:tblPr>
  </w:style>
  <w:style w:type="table" w:customStyle="1" w:styleId="104">
    <w:name w:val="Grid Table 6 Colorful - Accent 5"/>
    <w:qFormat/>
    <w:uiPriority w:val="99"/>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top w:w="0" w:type="dxa"/>
        <w:left w:w="0" w:type="dxa"/>
        <w:bottom w:w="0" w:type="dxa"/>
        <w:right w:w="0" w:type="dxa"/>
      </w:tblCellMar>
    </w:tblPr>
  </w:style>
  <w:style w:type="table" w:customStyle="1" w:styleId="105">
    <w:name w:val="Grid Table 6 Colorful - Accent 6"/>
    <w:qFormat/>
    <w:uiPriority w:val="99"/>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top w:w="0" w:type="dxa"/>
        <w:left w:w="0" w:type="dxa"/>
        <w:bottom w:w="0" w:type="dxa"/>
        <w:right w:w="0" w:type="dxa"/>
      </w:tblCellMar>
    </w:tblPr>
  </w:style>
  <w:style w:type="table" w:customStyle="1" w:styleId="106">
    <w:name w:val="网格表 7 彩色1"/>
    <w:qFormat/>
    <w:uiPriority w:val="99"/>
    <w:tblPr>
      <w:tblBorders>
        <w:bottom w:val="single" w:color="7F7F7F" w:sz="4" w:space="0"/>
        <w:right w:val="single" w:color="7F7F7F" w:sz="4" w:space="0"/>
        <w:insideH w:val="single" w:color="7F7F7F" w:sz="4" w:space="0"/>
        <w:insideV w:val="single" w:color="7F7F7F" w:sz="4" w:space="0"/>
      </w:tblBorders>
      <w:tblCellMar>
        <w:top w:w="0" w:type="dxa"/>
        <w:left w:w="0" w:type="dxa"/>
        <w:bottom w:w="0" w:type="dxa"/>
        <w:right w:w="0" w:type="dxa"/>
      </w:tblCellMar>
    </w:tblPr>
  </w:style>
  <w:style w:type="table" w:customStyle="1" w:styleId="107">
    <w:name w:val="Grid Table 7 Colorful - Accent 1"/>
    <w:qFormat/>
    <w:uiPriority w:val="99"/>
    <w:tblPr>
      <w:tblBorders>
        <w:bottom w:val="single" w:color="A6BFDD" w:sz="4" w:space="0"/>
        <w:right w:val="single" w:color="A6BFDD" w:sz="4" w:space="0"/>
        <w:insideH w:val="single" w:color="A6BFDD" w:sz="4" w:space="0"/>
        <w:insideV w:val="single" w:color="A6BFDD" w:sz="4" w:space="0"/>
      </w:tblBorders>
      <w:tblCellMar>
        <w:top w:w="0" w:type="dxa"/>
        <w:left w:w="0" w:type="dxa"/>
        <w:bottom w:w="0" w:type="dxa"/>
        <w:right w:w="0" w:type="dxa"/>
      </w:tblCellMar>
    </w:tblPr>
  </w:style>
  <w:style w:type="table" w:customStyle="1" w:styleId="108">
    <w:name w:val="Grid Table 7 Colorful - Accent 2"/>
    <w:qFormat/>
    <w:uiPriority w:val="99"/>
    <w:tblPr>
      <w:tblBorders>
        <w:bottom w:val="single" w:color="D99695" w:sz="4" w:space="0"/>
        <w:right w:val="single" w:color="D99695" w:sz="4" w:space="0"/>
        <w:insideH w:val="single" w:color="D99695" w:sz="4" w:space="0"/>
        <w:insideV w:val="single" w:color="D99695" w:sz="4" w:space="0"/>
      </w:tblBorders>
      <w:tblCellMar>
        <w:top w:w="0" w:type="dxa"/>
        <w:left w:w="0" w:type="dxa"/>
        <w:bottom w:w="0" w:type="dxa"/>
        <w:right w:w="0" w:type="dxa"/>
      </w:tblCellMar>
    </w:tblPr>
  </w:style>
  <w:style w:type="table" w:customStyle="1" w:styleId="109">
    <w:name w:val="Grid Table 7 Colorful - Accent 3"/>
    <w:qFormat/>
    <w:uiPriority w:val="99"/>
    <w:tblPr>
      <w:tblBorders>
        <w:bottom w:val="single" w:color="9ABB59" w:sz="4" w:space="0"/>
        <w:right w:val="single" w:color="9ABB59" w:sz="4" w:space="0"/>
        <w:insideH w:val="single" w:color="9ABB59" w:sz="4" w:space="0"/>
        <w:insideV w:val="single" w:color="9ABB59" w:sz="4" w:space="0"/>
      </w:tblBorders>
      <w:tblCellMar>
        <w:top w:w="0" w:type="dxa"/>
        <w:left w:w="0" w:type="dxa"/>
        <w:bottom w:w="0" w:type="dxa"/>
        <w:right w:w="0" w:type="dxa"/>
      </w:tblCellMar>
    </w:tblPr>
  </w:style>
  <w:style w:type="table" w:customStyle="1" w:styleId="110">
    <w:name w:val="Grid Table 7 Colorful - Accent 4"/>
    <w:qFormat/>
    <w:uiPriority w:val="99"/>
    <w:tblPr>
      <w:tblBorders>
        <w:bottom w:val="single" w:color="B2A1C6" w:sz="4" w:space="0"/>
        <w:right w:val="single" w:color="B2A1C6" w:sz="4" w:space="0"/>
        <w:insideH w:val="single" w:color="B2A1C6" w:sz="4" w:space="0"/>
        <w:insideV w:val="single" w:color="B2A1C6" w:sz="4" w:space="0"/>
      </w:tblBorders>
      <w:tblCellMar>
        <w:top w:w="0" w:type="dxa"/>
        <w:left w:w="0" w:type="dxa"/>
        <w:bottom w:w="0" w:type="dxa"/>
        <w:right w:w="0" w:type="dxa"/>
      </w:tblCellMar>
    </w:tblPr>
  </w:style>
  <w:style w:type="table" w:customStyle="1" w:styleId="111">
    <w:name w:val="Grid Table 7 Colorful - Accent 5"/>
    <w:qFormat/>
    <w:uiPriority w:val="99"/>
    <w:tblPr>
      <w:tblBorders>
        <w:bottom w:val="single" w:color="99D0DE" w:sz="4" w:space="0"/>
        <w:right w:val="single" w:color="99D0DE" w:sz="4" w:space="0"/>
        <w:insideH w:val="single" w:color="99D0DE" w:sz="4" w:space="0"/>
        <w:insideV w:val="single" w:color="99D0DE" w:sz="4" w:space="0"/>
      </w:tblBorders>
      <w:tblCellMar>
        <w:top w:w="0" w:type="dxa"/>
        <w:left w:w="0" w:type="dxa"/>
        <w:bottom w:w="0" w:type="dxa"/>
        <w:right w:w="0" w:type="dxa"/>
      </w:tblCellMar>
    </w:tblPr>
  </w:style>
  <w:style w:type="table" w:customStyle="1" w:styleId="112">
    <w:name w:val="Grid Table 7 Colorful - Accent 6"/>
    <w:qFormat/>
    <w:uiPriority w:val="99"/>
    <w:tblPr>
      <w:tblBorders>
        <w:bottom w:val="single" w:color="FAC396" w:sz="4" w:space="0"/>
        <w:right w:val="single" w:color="FAC396" w:sz="4" w:space="0"/>
        <w:insideH w:val="single" w:color="FAC396" w:sz="4" w:space="0"/>
        <w:insideV w:val="single" w:color="FAC396" w:sz="4" w:space="0"/>
      </w:tblBorders>
      <w:tblCellMar>
        <w:top w:w="0" w:type="dxa"/>
        <w:left w:w="0" w:type="dxa"/>
        <w:bottom w:w="0" w:type="dxa"/>
        <w:right w:w="0" w:type="dxa"/>
      </w:tblCellMar>
    </w:tblPr>
  </w:style>
  <w:style w:type="table" w:customStyle="1" w:styleId="113">
    <w:name w:val="清单表 1 浅色1"/>
    <w:qFormat/>
    <w:uiPriority w:val="99"/>
    <w:tblPr>
      <w:tblCellMar>
        <w:top w:w="0" w:type="dxa"/>
        <w:left w:w="0" w:type="dxa"/>
        <w:bottom w:w="0" w:type="dxa"/>
        <w:right w:w="0" w:type="dxa"/>
      </w:tblCellMar>
    </w:tblPr>
  </w:style>
  <w:style w:type="table" w:customStyle="1" w:styleId="114">
    <w:name w:val="List Table 1 Light - Accent 1"/>
    <w:qFormat/>
    <w:uiPriority w:val="99"/>
    <w:tblPr>
      <w:tblCellMar>
        <w:top w:w="0" w:type="dxa"/>
        <w:left w:w="0" w:type="dxa"/>
        <w:bottom w:w="0" w:type="dxa"/>
        <w:right w:w="0" w:type="dxa"/>
      </w:tblCellMar>
    </w:tblPr>
  </w:style>
  <w:style w:type="table" w:customStyle="1" w:styleId="115">
    <w:name w:val="List Table 1 Light - Accent 2"/>
    <w:qFormat/>
    <w:uiPriority w:val="99"/>
    <w:tblPr>
      <w:tblCellMar>
        <w:top w:w="0" w:type="dxa"/>
        <w:left w:w="0" w:type="dxa"/>
        <w:bottom w:w="0" w:type="dxa"/>
        <w:right w:w="0" w:type="dxa"/>
      </w:tblCellMar>
    </w:tblPr>
  </w:style>
  <w:style w:type="table" w:customStyle="1" w:styleId="116">
    <w:name w:val="List Table 1 Light - Accent 3"/>
    <w:qFormat/>
    <w:uiPriority w:val="99"/>
    <w:tblPr>
      <w:tblCellMar>
        <w:top w:w="0" w:type="dxa"/>
        <w:left w:w="0" w:type="dxa"/>
        <w:bottom w:w="0" w:type="dxa"/>
        <w:right w:w="0" w:type="dxa"/>
      </w:tblCellMar>
    </w:tblPr>
  </w:style>
  <w:style w:type="table" w:customStyle="1" w:styleId="117">
    <w:name w:val="List Table 1 Light - Accent 4"/>
    <w:qFormat/>
    <w:uiPriority w:val="99"/>
    <w:tblPr>
      <w:tblCellMar>
        <w:top w:w="0" w:type="dxa"/>
        <w:left w:w="0" w:type="dxa"/>
        <w:bottom w:w="0" w:type="dxa"/>
        <w:right w:w="0" w:type="dxa"/>
      </w:tblCellMar>
    </w:tblPr>
  </w:style>
  <w:style w:type="table" w:customStyle="1" w:styleId="118">
    <w:name w:val="List Table 1 Light - Accent 5"/>
    <w:qFormat/>
    <w:uiPriority w:val="99"/>
    <w:tblPr>
      <w:tblCellMar>
        <w:top w:w="0" w:type="dxa"/>
        <w:left w:w="0" w:type="dxa"/>
        <w:bottom w:w="0" w:type="dxa"/>
        <w:right w:w="0" w:type="dxa"/>
      </w:tblCellMar>
    </w:tblPr>
  </w:style>
  <w:style w:type="table" w:customStyle="1" w:styleId="119">
    <w:name w:val="List Table 1 Light - Accent 6"/>
    <w:qFormat/>
    <w:uiPriority w:val="99"/>
    <w:tblPr>
      <w:tblCellMar>
        <w:top w:w="0" w:type="dxa"/>
        <w:left w:w="0" w:type="dxa"/>
        <w:bottom w:w="0" w:type="dxa"/>
        <w:right w:w="0" w:type="dxa"/>
      </w:tblCellMar>
    </w:tblPr>
  </w:style>
  <w:style w:type="table" w:customStyle="1" w:styleId="120">
    <w:name w:val="清单表 21"/>
    <w:qFormat/>
    <w:uiPriority w:val="99"/>
    <w:tblPr>
      <w:tblBorders>
        <w:top w:val="single" w:color="6F6F6F" w:sz="4" w:space="0"/>
        <w:bottom w:val="single" w:color="6F6F6F" w:sz="4" w:space="0"/>
        <w:insideH w:val="single" w:color="6F6F6F" w:sz="4" w:space="0"/>
      </w:tblBorders>
      <w:tblCellMar>
        <w:top w:w="0" w:type="dxa"/>
        <w:left w:w="0" w:type="dxa"/>
        <w:bottom w:w="0" w:type="dxa"/>
        <w:right w:w="0" w:type="dxa"/>
      </w:tblCellMar>
    </w:tblPr>
  </w:style>
  <w:style w:type="table" w:customStyle="1" w:styleId="121">
    <w:name w:val="List Table 2 - Accent 1"/>
    <w:qFormat/>
    <w:uiPriority w:val="99"/>
    <w:tblPr>
      <w:tblBorders>
        <w:top w:val="single" w:color="9BB7D9" w:sz="4" w:space="0"/>
        <w:bottom w:val="single" w:color="9BB7D9" w:sz="4" w:space="0"/>
        <w:insideH w:val="single" w:color="9BB7D9" w:sz="4" w:space="0"/>
      </w:tblBorders>
      <w:tblCellMar>
        <w:top w:w="0" w:type="dxa"/>
        <w:left w:w="0" w:type="dxa"/>
        <w:bottom w:w="0" w:type="dxa"/>
        <w:right w:w="0" w:type="dxa"/>
      </w:tblCellMar>
    </w:tblPr>
  </w:style>
  <w:style w:type="table" w:customStyle="1" w:styleId="122">
    <w:name w:val="List Table 2 - Accent 2"/>
    <w:qFormat/>
    <w:uiPriority w:val="99"/>
    <w:tblPr>
      <w:tblBorders>
        <w:top w:val="single" w:color="DB9B9A" w:sz="4" w:space="0"/>
        <w:bottom w:val="single" w:color="DB9B9A" w:sz="4" w:space="0"/>
        <w:insideH w:val="single" w:color="DB9B9A" w:sz="4" w:space="0"/>
      </w:tblBorders>
      <w:tblCellMar>
        <w:top w:w="0" w:type="dxa"/>
        <w:left w:w="0" w:type="dxa"/>
        <w:bottom w:w="0" w:type="dxa"/>
        <w:right w:w="0" w:type="dxa"/>
      </w:tblCellMar>
    </w:tblPr>
  </w:style>
  <w:style w:type="table" w:customStyle="1" w:styleId="123">
    <w:name w:val="List Table 2 - Accent 3"/>
    <w:qFormat/>
    <w:uiPriority w:val="99"/>
    <w:tblPr>
      <w:tblBorders>
        <w:top w:val="single" w:color="C6D8A1" w:sz="4" w:space="0"/>
        <w:bottom w:val="single" w:color="C6D8A1" w:sz="4" w:space="0"/>
        <w:insideH w:val="single" w:color="C6D8A1" w:sz="4" w:space="0"/>
      </w:tblBorders>
      <w:tblCellMar>
        <w:top w:w="0" w:type="dxa"/>
        <w:left w:w="0" w:type="dxa"/>
        <w:bottom w:w="0" w:type="dxa"/>
        <w:right w:w="0" w:type="dxa"/>
      </w:tblCellMar>
    </w:tblPr>
  </w:style>
  <w:style w:type="table" w:customStyle="1" w:styleId="124">
    <w:name w:val="List Table 2 - Accent 4"/>
    <w:qFormat/>
    <w:uiPriority w:val="99"/>
    <w:tblPr>
      <w:tblBorders>
        <w:top w:val="single" w:color="B7A7CA" w:sz="4" w:space="0"/>
        <w:bottom w:val="single" w:color="B7A7CA" w:sz="4" w:space="0"/>
        <w:insideH w:val="single" w:color="B7A7CA" w:sz="4" w:space="0"/>
      </w:tblBorders>
      <w:tblCellMar>
        <w:top w:w="0" w:type="dxa"/>
        <w:left w:w="0" w:type="dxa"/>
        <w:bottom w:w="0" w:type="dxa"/>
        <w:right w:w="0" w:type="dxa"/>
      </w:tblCellMar>
    </w:tblPr>
  </w:style>
  <w:style w:type="table" w:customStyle="1" w:styleId="125">
    <w:name w:val="List Table 2 - Accent 5"/>
    <w:qFormat/>
    <w:uiPriority w:val="99"/>
    <w:tblPr>
      <w:tblBorders>
        <w:top w:val="single" w:color="99D0DE" w:sz="4" w:space="0"/>
        <w:bottom w:val="single" w:color="99D0DE" w:sz="4" w:space="0"/>
        <w:insideH w:val="single" w:color="99D0DE" w:sz="4" w:space="0"/>
      </w:tblBorders>
      <w:tblCellMar>
        <w:top w:w="0" w:type="dxa"/>
        <w:left w:w="0" w:type="dxa"/>
        <w:bottom w:w="0" w:type="dxa"/>
        <w:right w:w="0" w:type="dxa"/>
      </w:tblCellMar>
    </w:tblPr>
  </w:style>
  <w:style w:type="table" w:customStyle="1" w:styleId="126">
    <w:name w:val="List Table 2 - Accent 6"/>
    <w:qFormat/>
    <w:uiPriority w:val="99"/>
    <w:tblPr>
      <w:tblBorders>
        <w:top w:val="single" w:color="FAC396" w:sz="4" w:space="0"/>
        <w:bottom w:val="single" w:color="FAC396" w:sz="4" w:space="0"/>
        <w:insideH w:val="single" w:color="FAC396" w:sz="4" w:space="0"/>
      </w:tblBorders>
      <w:tblCellMar>
        <w:top w:w="0" w:type="dxa"/>
        <w:left w:w="0" w:type="dxa"/>
        <w:bottom w:w="0" w:type="dxa"/>
        <w:right w:w="0" w:type="dxa"/>
      </w:tblCellMar>
    </w:tblPr>
  </w:style>
  <w:style w:type="table" w:customStyle="1" w:styleId="127">
    <w:name w:val="清单表 31"/>
    <w:qFormat/>
    <w:uiPriority w:val="99"/>
    <w:tblPr>
      <w:tblBorders>
        <w:top w:val="single" w:color="000000" w:sz="4" w:space="0"/>
        <w:left w:val="single" w:color="000000" w:sz="4" w:space="0"/>
        <w:bottom w:val="single" w:color="000000" w:sz="4" w:space="0"/>
        <w:right w:val="single" w:color="000000" w:sz="4" w:space="0"/>
      </w:tblBorders>
      <w:tblCellMar>
        <w:top w:w="0" w:type="dxa"/>
        <w:left w:w="0" w:type="dxa"/>
        <w:bottom w:w="0" w:type="dxa"/>
        <w:right w:w="0" w:type="dxa"/>
      </w:tblCellMar>
    </w:tblPr>
  </w:style>
  <w:style w:type="table" w:customStyle="1" w:styleId="128">
    <w:name w:val="List Table 3 - Accent 1"/>
    <w:qFormat/>
    <w:uiPriority w:val="99"/>
    <w:tblPr>
      <w:tblBorders>
        <w:top w:val="single" w:color="4F81BD" w:sz="4" w:space="0"/>
        <w:left w:val="single" w:color="4F81BD" w:sz="4" w:space="0"/>
        <w:bottom w:val="single" w:color="4F81BD" w:sz="4" w:space="0"/>
        <w:right w:val="single" w:color="4F81BD" w:sz="4" w:space="0"/>
      </w:tblBorders>
      <w:tblCellMar>
        <w:top w:w="0" w:type="dxa"/>
        <w:left w:w="0" w:type="dxa"/>
        <w:bottom w:w="0" w:type="dxa"/>
        <w:right w:w="0" w:type="dxa"/>
      </w:tblCellMar>
    </w:tblPr>
  </w:style>
  <w:style w:type="table" w:customStyle="1" w:styleId="129">
    <w:name w:val="List Table 3 - Accent 2"/>
    <w:qFormat/>
    <w:uiPriority w:val="99"/>
    <w:tblPr>
      <w:tblBorders>
        <w:top w:val="single" w:color="D99695" w:sz="4" w:space="0"/>
        <w:left w:val="single" w:color="D99695" w:sz="4" w:space="0"/>
        <w:bottom w:val="single" w:color="D99695" w:sz="4" w:space="0"/>
        <w:right w:val="single" w:color="D99695" w:sz="4" w:space="0"/>
      </w:tblBorders>
      <w:tblCellMar>
        <w:top w:w="0" w:type="dxa"/>
        <w:left w:w="0" w:type="dxa"/>
        <w:bottom w:w="0" w:type="dxa"/>
        <w:right w:w="0" w:type="dxa"/>
      </w:tblCellMar>
    </w:tblPr>
  </w:style>
  <w:style w:type="table" w:customStyle="1" w:styleId="130">
    <w:name w:val="List Table 3 - Accent 3"/>
    <w:qFormat/>
    <w:uiPriority w:val="99"/>
    <w:tblPr>
      <w:tblBorders>
        <w:top w:val="single" w:color="C3D69B" w:sz="4" w:space="0"/>
        <w:left w:val="single" w:color="C3D69B" w:sz="4" w:space="0"/>
        <w:bottom w:val="single" w:color="C3D69B" w:sz="4" w:space="0"/>
        <w:right w:val="single" w:color="C3D69B" w:sz="4" w:space="0"/>
      </w:tblBorders>
      <w:tblCellMar>
        <w:top w:w="0" w:type="dxa"/>
        <w:left w:w="0" w:type="dxa"/>
        <w:bottom w:w="0" w:type="dxa"/>
        <w:right w:w="0" w:type="dxa"/>
      </w:tblCellMar>
    </w:tblPr>
  </w:style>
  <w:style w:type="table" w:customStyle="1" w:styleId="131">
    <w:name w:val="List Table 3 - Accent 4"/>
    <w:qFormat/>
    <w:uiPriority w:val="99"/>
    <w:tblPr>
      <w:tblBorders>
        <w:top w:val="single" w:color="B2A1C6" w:sz="4" w:space="0"/>
        <w:left w:val="single" w:color="B2A1C6" w:sz="4" w:space="0"/>
        <w:bottom w:val="single" w:color="B2A1C6" w:sz="4" w:space="0"/>
        <w:right w:val="single" w:color="B2A1C6" w:sz="4" w:space="0"/>
      </w:tblBorders>
      <w:tblCellMar>
        <w:top w:w="0" w:type="dxa"/>
        <w:left w:w="0" w:type="dxa"/>
        <w:bottom w:w="0" w:type="dxa"/>
        <w:right w:w="0" w:type="dxa"/>
      </w:tblCellMar>
    </w:tblPr>
  </w:style>
  <w:style w:type="table" w:customStyle="1" w:styleId="132">
    <w:name w:val="List Table 3 - Accent 5"/>
    <w:qFormat/>
    <w:uiPriority w:val="99"/>
    <w:tblPr>
      <w:tblBorders>
        <w:top w:val="single" w:color="92CCDC" w:sz="4" w:space="0"/>
        <w:left w:val="single" w:color="92CCDC" w:sz="4" w:space="0"/>
        <w:bottom w:val="single" w:color="92CCDC" w:sz="4" w:space="0"/>
        <w:right w:val="single" w:color="92CCDC" w:sz="4" w:space="0"/>
      </w:tblBorders>
      <w:tblCellMar>
        <w:top w:w="0" w:type="dxa"/>
        <w:left w:w="0" w:type="dxa"/>
        <w:bottom w:w="0" w:type="dxa"/>
        <w:right w:w="0" w:type="dxa"/>
      </w:tblCellMar>
    </w:tblPr>
  </w:style>
  <w:style w:type="table" w:customStyle="1" w:styleId="133">
    <w:name w:val="List Table 3 - Accent 6"/>
    <w:qFormat/>
    <w:uiPriority w:val="99"/>
    <w:tblPr>
      <w:tblBorders>
        <w:top w:val="single" w:color="FAC090" w:sz="4" w:space="0"/>
        <w:left w:val="single" w:color="FAC090" w:sz="4" w:space="0"/>
        <w:bottom w:val="single" w:color="FAC090" w:sz="4" w:space="0"/>
        <w:right w:val="single" w:color="FAC090" w:sz="4" w:space="0"/>
      </w:tblBorders>
      <w:tblCellMar>
        <w:top w:w="0" w:type="dxa"/>
        <w:left w:w="0" w:type="dxa"/>
        <w:bottom w:w="0" w:type="dxa"/>
        <w:right w:w="0" w:type="dxa"/>
      </w:tblCellMar>
    </w:tblPr>
  </w:style>
  <w:style w:type="table" w:customStyle="1" w:styleId="134">
    <w:name w:val="清单表 41"/>
    <w:qFormat/>
    <w:uiPriority w:val="99"/>
    <w:tblPr>
      <w:tblBorders>
        <w:top w:val="single" w:color="000000" w:sz="4" w:space="0"/>
        <w:left w:val="single" w:color="000000" w:sz="4" w:space="0"/>
        <w:bottom w:val="single" w:color="000000" w:sz="4" w:space="0"/>
        <w:right w:val="single" w:color="000000" w:sz="4" w:space="0"/>
        <w:insideH w:val="single" w:color="000000" w:sz="4" w:space="0"/>
      </w:tblBorders>
      <w:tblCellMar>
        <w:top w:w="0" w:type="dxa"/>
        <w:left w:w="0" w:type="dxa"/>
        <w:bottom w:w="0" w:type="dxa"/>
        <w:right w:w="0" w:type="dxa"/>
      </w:tblCellMar>
    </w:tblPr>
  </w:style>
  <w:style w:type="table" w:customStyle="1" w:styleId="135">
    <w:name w:val="List Table 4 - Accent 1"/>
    <w:qFormat/>
    <w:uiPriority w:val="99"/>
    <w:tblPr>
      <w:tblBorders>
        <w:top w:val="single" w:color="9BB7D9" w:sz="4" w:space="0"/>
        <w:left w:val="single" w:color="9BB7D9" w:sz="4" w:space="0"/>
        <w:bottom w:val="single" w:color="9BB7D9" w:sz="4" w:space="0"/>
        <w:right w:val="single" w:color="9BB7D9" w:sz="4" w:space="0"/>
        <w:insideH w:val="single" w:color="9BB7D9" w:sz="4" w:space="0"/>
      </w:tblBorders>
      <w:tblCellMar>
        <w:top w:w="0" w:type="dxa"/>
        <w:left w:w="0" w:type="dxa"/>
        <w:bottom w:w="0" w:type="dxa"/>
        <w:right w:w="0" w:type="dxa"/>
      </w:tblCellMar>
    </w:tblPr>
  </w:style>
  <w:style w:type="table" w:customStyle="1" w:styleId="136">
    <w:name w:val="List Table 4 - Accent 2"/>
    <w:qFormat/>
    <w:uiPriority w:val="99"/>
    <w:tblPr>
      <w:tblBorders>
        <w:top w:val="single" w:color="DB9B9A" w:sz="4" w:space="0"/>
        <w:left w:val="single" w:color="DB9B9A" w:sz="4" w:space="0"/>
        <w:bottom w:val="single" w:color="DB9B9A" w:sz="4" w:space="0"/>
        <w:right w:val="single" w:color="DB9B9A" w:sz="4" w:space="0"/>
        <w:insideH w:val="single" w:color="DB9B9A" w:sz="4" w:space="0"/>
      </w:tblBorders>
      <w:tblCellMar>
        <w:top w:w="0" w:type="dxa"/>
        <w:left w:w="0" w:type="dxa"/>
        <w:bottom w:w="0" w:type="dxa"/>
        <w:right w:w="0" w:type="dxa"/>
      </w:tblCellMar>
    </w:tblPr>
  </w:style>
  <w:style w:type="table" w:customStyle="1" w:styleId="137">
    <w:name w:val="List Table 4 - Accent 3"/>
    <w:qFormat/>
    <w:uiPriority w:val="99"/>
    <w:tblPr>
      <w:tblBorders>
        <w:top w:val="single" w:color="C6D8A1" w:sz="4" w:space="0"/>
        <w:left w:val="single" w:color="C6D8A1" w:sz="4" w:space="0"/>
        <w:bottom w:val="single" w:color="C6D8A1" w:sz="4" w:space="0"/>
        <w:right w:val="single" w:color="C6D8A1" w:sz="4" w:space="0"/>
        <w:insideH w:val="single" w:color="C6D8A1" w:sz="4" w:space="0"/>
      </w:tblBorders>
      <w:tblCellMar>
        <w:top w:w="0" w:type="dxa"/>
        <w:left w:w="0" w:type="dxa"/>
        <w:bottom w:w="0" w:type="dxa"/>
        <w:right w:w="0" w:type="dxa"/>
      </w:tblCellMar>
    </w:tblPr>
  </w:style>
  <w:style w:type="table" w:customStyle="1" w:styleId="138">
    <w:name w:val="List Table 4 - Accent 4"/>
    <w:qFormat/>
    <w:uiPriority w:val="99"/>
    <w:tblPr>
      <w:tblBorders>
        <w:top w:val="single" w:color="B7A7CA" w:sz="4" w:space="0"/>
        <w:left w:val="single" w:color="B7A7CA" w:sz="4" w:space="0"/>
        <w:bottom w:val="single" w:color="B7A7CA" w:sz="4" w:space="0"/>
        <w:right w:val="single" w:color="B7A7CA" w:sz="4" w:space="0"/>
        <w:insideH w:val="single" w:color="B7A7CA" w:sz="4" w:space="0"/>
      </w:tblBorders>
      <w:tblCellMar>
        <w:top w:w="0" w:type="dxa"/>
        <w:left w:w="0" w:type="dxa"/>
        <w:bottom w:w="0" w:type="dxa"/>
        <w:right w:w="0" w:type="dxa"/>
      </w:tblCellMar>
    </w:tblPr>
  </w:style>
  <w:style w:type="table" w:customStyle="1" w:styleId="139">
    <w:name w:val="List Table 4 - Accent 5"/>
    <w:qFormat/>
    <w:uiPriority w:val="99"/>
    <w:tblPr>
      <w:tblBorders>
        <w:top w:val="single" w:color="99D0DE" w:sz="4" w:space="0"/>
        <w:left w:val="single" w:color="99D0DE" w:sz="4" w:space="0"/>
        <w:bottom w:val="single" w:color="99D0DE" w:sz="4" w:space="0"/>
        <w:right w:val="single" w:color="99D0DE" w:sz="4" w:space="0"/>
        <w:insideH w:val="single" w:color="99D0DE" w:sz="4" w:space="0"/>
      </w:tblBorders>
      <w:tblCellMar>
        <w:top w:w="0" w:type="dxa"/>
        <w:left w:w="0" w:type="dxa"/>
        <w:bottom w:w="0" w:type="dxa"/>
        <w:right w:w="0" w:type="dxa"/>
      </w:tblCellMar>
    </w:tblPr>
  </w:style>
  <w:style w:type="table" w:customStyle="1" w:styleId="140">
    <w:name w:val="List Table 4 - Accent 6"/>
    <w:qFormat/>
    <w:uiPriority w:val="99"/>
    <w:tblPr>
      <w:tblBorders>
        <w:top w:val="single" w:color="FAC396" w:sz="4" w:space="0"/>
        <w:left w:val="single" w:color="FAC396" w:sz="4" w:space="0"/>
        <w:bottom w:val="single" w:color="FAC396" w:sz="4" w:space="0"/>
        <w:right w:val="single" w:color="FAC396" w:sz="4" w:space="0"/>
        <w:insideH w:val="single" w:color="FAC396" w:sz="4" w:space="0"/>
      </w:tblBorders>
      <w:tblCellMar>
        <w:top w:w="0" w:type="dxa"/>
        <w:left w:w="0" w:type="dxa"/>
        <w:bottom w:w="0" w:type="dxa"/>
        <w:right w:w="0" w:type="dxa"/>
      </w:tblCellMar>
    </w:tblPr>
  </w:style>
  <w:style w:type="table" w:customStyle="1" w:styleId="141">
    <w:name w:val="清单表 5 深色1"/>
    <w:qFormat/>
    <w:uiPriority w:val="99"/>
    <w:tblPr>
      <w:tblBorders>
        <w:top w:val="single" w:color="7F7F7F" w:sz="32" w:space="0"/>
        <w:left w:val="single" w:color="7F7F7F" w:sz="32" w:space="0"/>
        <w:bottom w:val="single" w:color="7F7F7F" w:sz="32" w:space="0"/>
        <w:right w:val="single" w:color="7F7F7F" w:sz="32" w:space="0"/>
      </w:tblBorders>
      <w:tblCellMar>
        <w:top w:w="0" w:type="dxa"/>
        <w:left w:w="0" w:type="dxa"/>
        <w:bottom w:w="0" w:type="dxa"/>
        <w:right w:w="0" w:type="dxa"/>
      </w:tblCellMar>
    </w:tblPr>
  </w:style>
  <w:style w:type="table" w:customStyle="1" w:styleId="142">
    <w:name w:val="List Table 5 Dark - Accent 1"/>
    <w:qFormat/>
    <w:uiPriority w:val="99"/>
    <w:tblPr>
      <w:tblBorders>
        <w:top w:val="single" w:color="4F81BD" w:sz="32" w:space="0"/>
        <w:left w:val="single" w:color="4F81BD" w:sz="32" w:space="0"/>
        <w:bottom w:val="single" w:color="4F81BD" w:sz="32" w:space="0"/>
        <w:right w:val="single" w:color="4F81BD" w:sz="32" w:space="0"/>
      </w:tblBorders>
      <w:tblCellMar>
        <w:top w:w="0" w:type="dxa"/>
        <w:left w:w="0" w:type="dxa"/>
        <w:bottom w:w="0" w:type="dxa"/>
        <w:right w:w="0" w:type="dxa"/>
      </w:tblCellMar>
    </w:tblPr>
  </w:style>
  <w:style w:type="table" w:customStyle="1" w:styleId="143">
    <w:name w:val="List Table 5 Dark - Accent 2"/>
    <w:qFormat/>
    <w:uiPriority w:val="99"/>
    <w:tblPr>
      <w:tblBorders>
        <w:top w:val="single" w:color="D99695" w:sz="32" w:space="0"/>
        <w:left w:val="single" w:color="D99695" w:sz="32" w:space="0"/>
        <w:bottom w:val="single" w:color="D99695" w:sz="32" w:space="0"/>
        <w:right w:val="single" w:color="D99695" w:sz="32" w:space="0"/>
      </w:tblBorders>
      <w:tblCellMar>
        <w:top w:w="0" w:type="dxa"/>
        <w:left w:w="0" w:type="dxa"/>
        <w:bottom w:w="0" w:type="dxa"/>
        <w:right w:w="0" w:type="dxa"/>
      </w:tblCellMar>
    </w:tblPr>
  </w:style>
  <w:style w:type="table" w:customStyle="1" w:styleId="144">
    <w:name w:val="List Table 5 Dark - Accent 3"/>
    <w:qFormat/>
    <w:uiPriority w:val="99"/>
    <w:tblPr>
      <w:tblBorders>
        <w:top w:val="single" w:color="C3D69B" w:sz="32" w:space="0"/>
        <w:left w:val="single" w:color="C3D69B" w:sz="32" w:space="0"/>
        <w:bottom w:val="single" w:color="C3D69B" w:sz="32" w:space="0"/>
        <w:right w:val="single" w:color="C3D69B" w:sz="32" w:space="0"/>
      </w:tblBorders>
      <w:tblCellMar>
        <w:top w:w="0" w:type="dxa"/>
        <w:left w:w="0" w:type="dxa"/>
        <w:bottom w:w="0" w:type="dxa"/>
        <w:right w:w="0" w:type="dxa"/>
      </w:tblCellMar>
    </w:tblPr>
  </w:style>
  <w:style w:type="table" w:customStyle="1" w:styleId="145">
    <w:name w:val="List Table 5 Dark - Accent 4"/>
    <w:qFormat/>
    <w:uiPriority w:val="99"/>
    <w:tblPr>
      <w:tblBorders>
        <w:top w:val="single" w:color="B2A1C6" w:sz="32" w:space="0"/>
        <w:left w:val="single" w:color="B2A1C6" w:sz="32" w:space="0"/>
        <w:bottom w:val="single" w:color="B2A1C6" w:sz="32" w:space="0"/>
        <w:right w:val="single" w:color="B2A1C6" w:sz="32" w:space="0"/>
      </w:tblBorders>
      <w:tblCellMar>
        <w:top w:w="0" w:type="dxa"/>
        <w:left w:w="0" w:type="dxa"/>
        <w:bottom w:w="0" w:type="dxa"/>
        <w:right w:w="0" w:type="dxa"/>
      </w:tblCellMar>
    </w:tblPr>
  </w:style>
  <w:style w:type="table" w:customStyle="1" w:styleId="146">
    <w:name w:val="List Table 5 Dark - Accent 5"/>
    <w:qFormat/>
    <w:uiPriority w:val="99"/>
    <w:tblPr>
      <w:tblBorders>
        <w:top w:val="single" w:color="92CCDC" w:sz="32" w:space="0"/>
        <w:left w:val="single" w:color="92CCDC" w:sz="32" w:space="0"/>
        <w:bottom w:val="single" w:color="92CCDC" w:sz="32" w:space="0"/>
        <w:right w:val="single" w:color="92CCDC" w:sz="32" w:space="0"/>
      </w:tblBorders>
      <w:tblCellMar>
        <w:top w:w="0" w:type="dxa"/>
        <w:left w:w="0" w:type="dxa"/>
        <w:bottom w:w="0" w:type="dxa"/>
        <w:right w:w="0" w:type="dxa"/>
      </w:tblCellMar>
    </w:tblPr>
  </w:style>
  <w:style w:type="table" w:customStyle="1" w:styleId="147">
    <w:name w:val="List Table 5 Dark - Accent 6"/>
    <w:qFormat/>
    <w:uiPriority w:val="99"/>
    <w:tblPr>
      <w:tblBorders>
        <w:top w:val="single" w:color="FAC090" w:sz="32" w:space="0"/>
        <w:left w:val="single" w:color="FAC090" w:sz="32" w:space="0"/>
        <w:bottom w:val="single" w:color="FAC090" w:sz="32" w:space="0"/>
        <w:right w:val="single" w:color="FAC090" w:sz="32" w:space="0"/>
      </w:tblBorders>
      <w:tblCellMar>
        <w:top w:w="0" w:type="dxa"/>
        <w:left w:w="0" w:type="dxa"/>
        <w:bottom w:w="0" w:type="dxa"/>
        <w:right w:w="0" w:type="dxa"/>
      </w:tblCellMar>
    </w:tblPr>
  </w:style>
  <w:style w:type="table" w:customStyle="1" w:styleId="148">
    <w:name w:val="清单表 6 彩色1"/>
    <w:qFormat/>
    <w:uiPriority w:val="99"/>
    <w:tblPr>
      <w:tblBorders>
        <w:top w:val="single" w:color="7F7F7F" w:sz="4" w:space="0"/>
        <w:bottom w:val="single" w:color="7F7F7F" w:sz="4" w:space="0"/>
      </w:tblBorders>
      <w:tblCellMar>
        <w:top w:w="0" w:type="dxa"/>
        <w:left w:w="0" w:type="dxa"/>
        <w:bottom w:w="0" w:type="dxa"/>
        <w:right w:w="0" w:type="dxa"/>
      </w:tblCellMar>
    </w:tblPr>
  </w:style>
  <w:style w:type="table" w:customStyle="1" w:styleId="149">
    <w:name w:val="List Table 6 Colorful - Accent 1"/>
    <w:qFormat/>
    <w:uiPriority w:val="99"/>
    <w:tblPr>
      <w:tblBorders>
        <w:top w:val="single" w:color="4F81BD" w:sz="4" w:space="0"/>
        <w:bottom w:val="single" w:color="4F81BD" w:sz="4" w:space="0"/>
      </w:tblBorders>
      <w:tblCellMar>
        <w:top w:w="0" w:type="dxa"/>
        <w:left w:w="0" w:type="dxa"/>
        <w:bottom w:w="0" w:type="dxa"/>
        <w:right w:w="0" w:type="dxa"/>
      </w:tblCellMar>
    </w:tblPr>
  </w:style>
  <w:style w:type="table" w:customStyle="1" w:styleId="150">
    <w:name w:val="List Table 6 Colorful - Accent 2"/>
    <w:qFormat/>
    <w:uiPriority w:val="99"/>
    <w:tblPr>
      <w:tblBorders>
        <w:top w:val="single" w:color="D99695" w:sz="4" w:space="0"/>
        <w:bottom w:val="single" w:color="D99695" w:sz="4" w:space="0"/>
      </w:tblBorders>
      <w:tblCellMar>
        <w:top w:w="0" w:type="dxa"/>
        <w:left w:w="0" w:type="dxa"/>
        <w:bottom w:w="0" w:type="dxa"/>
        <w:right w:w="0" w:type="dxa"/>
      </w:tblCellMar>
    </w:tblPr>
  </w:style>
  <w:style w:type="table" w:customStyle="1" w:styleId="151">
    <w:name w:val="List Table 6 Colorful - Accent 3"/>
    <w:qFormat/>
    <w:uiPriority w:val="99"/>
    <w:tblPr>
      <w:tblBorders>
        <w:top w:val="single" w:color="C3D69B" w:sz="4" w:space="0"/>
        <w:bottom w:val="single" w:color="C3D69B" w:sz="4" w:space="0"/>
      </w:tblBorders>
      <w:tblCellMar>
        <w:top w:w="0" w:type="dxa"/>
        <w:left w:w="0" w:type="dxa"/>
        <w:bottom w:w="0" w:type="dxa"/>
        <w:right w:w="0" w:type="dxa"/>
      </w:tblCellMar>
    </w:tblPr>
  </w:style>
  <w:style w:type="table" w:customStyle="1" w:styleId="152">
    <w:name w:val="List Table 6 Colorful - Accent 4"/>
    <w:qFormat/>
    <w:uiPriority w:val="99"/>
    <w:tblPr>
      <w:tblBorders>
        <w:top w:val="single" w:color="B2A1C6" w:sz="4" w:space="0"/>
        <w:bottom w:val="single" w:color="B2A1C6" w:sz="4" w:space="0"/>
      </w:tblBorders>
      <w:tblCellMar>
        <w:top w:w="0" w:type="dxa"/>
        <w:left w:w="0" w:type="dxa"/>
        <w:bottom w:w="0" w:type="dxa"/>
        <w:right w:w="0" w:type="dxa"/>
      </w:tblCellMar>
    </w:tblPr>
  </w:style>
  <w:style w:type="table" w:customStyle="1" w:styleId="153">
    <w:name w:val="List Table 6 Colorful - Accent 5"/>
    <w:qFormat/>
    <w:uiPriority w:val="99"/>
    <w:tblPr>
      <w:tblBorders>
        <w:top w:val="single" w:color="92CCDC" w:sz="4" w:space="0"/>
        <w:bottom w:val="single" w:color="92CCDC" w:sz="4" w:space="0"/>
      </w:tblBorders>
      <w:tblCellMar>
        <w:top w:w="0" w:type="dxa"/>
        <w:left w:w="0" w:type="dxa"/>
        <w:bottom w:w="0" w:type="dxa"/>
        <w:right w:w="0" w:type="dxa"/>
      </w:tblCellMar>
    </w:tblPr>
  </w:style>
  <w:style w:type="table" w:customStyle="1" w:styleId="154">
    <w:name w:val="List Table 6 Colorful - Accent 6"/>
    <w:qFormat/>
    <w:uiPriority w:val="99"/>
    <w:tblPr>
      <w:tblBorders>
        <w:top w:val="single" w:color="FAC090" w:sz="4" w:space="0"/>
        <w:bottom w:val="single" w:color="FAC090" w:sz="4" w:space="0"/>
      </w:tblBorders>
      <w:tblCellMar>
        <w:top w:w="0" w:type="dxa"/>
        <w:left w:w="0" w:type="dxa"/>
        <w:bottom w:w="0" w:type="dxa"/>
        <w:right w:w="0" w:type="dxa"/>
      </w:tblCellMar>
    </w:tblPr>
  </w:style>
  <w:style w:type="table" w:customStyle="1" w:styleId="155">
    <w:name w:val="清单表 7 彩色1"/>
    <w:qFormat/>
    <w:uiPriority w:val="99"/>
    <w:tblPr>
      <w:tblBorders>
        <w:right w:val="single" w:color="7F7F7F" w:sz="4" w:space="0"/>
      </w:tblBorders>
      <w:tblCellMar>
        <w:top w:w="0" w:type="dxa"/>
        <w:left w:w="0" w:type="dxa"/>
        <w:bottom w:w="0" w:type="dxa"/>
        <w:right w:w="0" w:type="dxa"/>
      </w:tblCellMar>
    </w:tblPr>
  </w:style>
  <w:style w:type="table" w:customStyle="1" w:styleId="156">
    <w:name w:val="List Table 7 Colorful - Accent 1"/>
    <w:qFormat/>
    <w:uiPriority w:val="99"/>
    <w:tblPr>
      <w:tblBorders>
        <w:right w:val="single" w:color="4F81BD" w:sz="4" w:space="0"/>
      </w:tblBorders>
      <w:tblCellMar>
        <w:top w:w="0" w:type="dxa"/>
        <w:left w:w="0" w:type="dxa"/>
        <w:bottom w:w="0" w:type="dxa"/>
        <w:right w:w="0" w:type="dxa"/>
      </w:tblCellMar>
    </w:tblPr>
  </w:style>
  <w:style w:type="table" w:customStyle="1" w:styleId="157">
    <w:name w:val="List Table 7 Colorful - Accent 2"/>
    <w:qFormat/>
    <w:uiPriority w:val="99"/>
    <w:tblPr>
      <w:tblBorders>
        <w:right w:val="single" w:color="D99695" w:sz="4" w:space="0"/>
      </w:tblBorders>
      <w:tblCellMar>
        <w:top w:w="0" w:type="dxa"/>
        <w:left w:w="0" w:type="dxa"/>
        <w:bottom w:w="0" w:type="dxa"/>
        <w:right w:w="0" w:type="dxa"/>
      </w:tblCellMar>
    </w:tblPr>
  </w:style>
  <w:style w:type="table" w:customStyle="1" w:styleId="158">
    <w:name w:val="List Table 7 Colorful - Accent 3"/>
    <w:qFormat/>
    <w:uiPriority w:val="99"/>
    <w:tblPr>
      <w:tblBorders>
        <w:right w:val="single" w:color="C3D69B" w:sz="4" w:space="0"/>
      </w:tblBorders>
      <w:tblCellMar>
        <w:top w:w="0" w:type="dxa"/>
        <w:left w:w="0" w:type="dxa"/>
        <w:bottom w:w="0" w:type="dxa"/>
        <w:right w:w="0" w:type="dxa"/>
      </w:tblCellMar>
    </w:tblPr>
  </w:style>
  <w:style w:type="table" w:customStyle="1" w:styleId="159">
    <w:name w:val="List Table 7 Colorful - Accent 4"/>
    <w:qFormat/>
    <w:uiPriority w:val="99"/>
    <w:tblPr>
      <w:tblBorders>
        <w:right w:val="single" w:color="B2A1C6" w:sz="4" w:space="0"/>
      </w:tblBorders>
      <w:tblCellMar>
        <w:top w:w="0" w:type="dxa"/>
        <w:left w:w="0" w:type="dxa"/>
        <w:bottom w:w="0" w:type="dxa"/>
        <w:right w:w="0" w:type="dxa"/>
      </w:tblCellMar>
    </w:tblPr>
  </w:style>
  <w:style w:type="table" w:customStyle="1" w:styleId="160">
    <w:name w:val="List Table 7 Colorful - Accent 5"/>
    <w:qFormat/>
    <w:uiPriority w:val="99"/>
    <w:tblPr>
      <w:tblBorders>
        <w:right w:val="single" w:color="92CCDC" w:sz="4" w:space="0"/>
      </w:tblBorders>
      <w:tblCellMar>
        <w:top w:w="0" w:type="dxa"/>
        <w:left w:w="0" w:type="dxa"/>
        <w:bottom w:w="0" w:type="dxa"/>
        <w:right w:w="0" w:type="dxa"/>
      </w:tblCellMar>
    </w:tblPr>
  </w:style>
  <w:style w:type="table" w:customStyle="1" w:styleId="161">
    <w:name w:val="List Table 7 Colorful - Accent 6"/>
    <w:qFormat/>
    <w:uiPriority w:val="99"/>
    <w:tblPr>
      <w:tblBorders>
        <w:right w:val="single" w:color="FAC090" w:sz="4" w:space="0"/>
      </w:tblBorders>
      <w:tblCellMar>
        <w:top w:w="0" w:type="dxa"/>
        <w:left w:w="0" w:type="dxa"/>
        <w:bottom w:w="0" w:type="dxa"/>
        <w:right w:w="0" w:type="dxa"/>
      </w:tblCellMar>
    </w:tblPr>
  </w:style>
  <w:style w:type="table" w:customStyle="1" w:styleId="162">
    <w:name w:val="Lined - Accent"/>
    <w:qFormat/>
    <w:uiPriority w:val="99"/>
    <w:rPr>
      <w:color w:val="404040"/>
    </w:rPr>
    <w:tblPr>
      <w:tblCellMar>
        <w:top w:w="0" w:type="dxa"/>
        <w:left w:w="0" w:type="dxa"/>
        <w:bottom w:w="0" w:type="dxa"/>
        <w:right w:w="0" w:type="dxa"/>
      </w:tblCellMar>
    </w:tblPr>
  </w:style>
  <w:style w:type="table" w:customStyle="1" w:styleId="163">
    <w:name w:val="Lined - Accent 1"/>
    <w:qFormat/>
    <w:uiPriority w:val="99"/>
    <w:rPr>
      <w:color w:val="404040"/>
    </w:rPr>
    <w:tblPr>
      <w:tblCellMar>
        <w:top w:w="0" w:type="dxa"/>
        <w:left w:w="0" w:type="dxa"/>
        <w:bottom w:w="0" w:type="dxa"/>
        <w:right w:w="0" w:type="dxa"/>
      </w:tblCellMar>
    </w:tblPr>
  </w:style>
  <w:style w:type="table" w:customStyle="1" w:styleId="164">
    <w:name w:val="Lined - Accent 2"/>
    <w:qFormat/>
    <w:uiPriority w:val="99"/>
    <w:rPr>
      <w:color w:val="404040"/>
    </w:rPr>
    <w:tblPr>
      <w:tblCellMar>
        <w:top w:w="0" w:type="dxa"/>
        <w:left w:w="0" w:type="dxa"/>
        <w:bottom w:w="0" w:type="dxa"/>
        <w:right w:w="0" w:type="dxa"/>
      </w:tblCellMar>
    </w:tblPr>
  </w:style>
  <w:style w:type="table" w:customStyle="1" w:styleId="165">
    <w:name w:val="Lined - Accent 3"/>
    <w:qFormat/>
    <w:uiPriority w:val="99"/>
    <w:rPr>
      <w:color w:val="404040"/>
    </w:rPr>
    <w:tblPr>
      <w:tblCellMar>
        <w:top w:w="0" w:type="dxa"/>
        <w:left w:w="0" w:type="dxa"/>
        <w:bottom w:w="0" w:type="dxa"/>
        <w:right w:w="0" w:type="dxa"/>
      </w:tblCellMar>
    </w:tblPr>
  </w:style>
  <w:style w:type="table" w:customStyle="1" w:styleId="166">
    <w:name w:val="Lined - Accent 4"/>
    <w:qFormat/>
    <w:uiPriority w:val="99"/>
    <w:rPr>
      <w:color w:val="404040"/>
    </w:rPr>
    <w:tblPr>
      <w:tblCellMar>
        <w:top w:w="0" w:type="dxa"/>
        <w:left w:w="0" w:type="dxa"/>
        <w:bottom w:w="0" w:type="dxa"/>
        <w:right w:w="0" w:type="dxa"/>
      </w:tblCellMar>
    </w:tblPr>
  </w:style>
  <w:style w:type="table" w:customStyle="1" w:styleId="167">
    <w:name w:val="Lined - Accent 5"/>
    <w:qFormat/>
    <w:uiPriority w:val="99"/>
    <w:rPr>
      <w:color w:val="404040"/>
    </w:rPr>
    <w:tblPr>
      <w:tblCellMar>
        <w:top w:w="0" w:type="dxa"/>
        <w:left w:w="0" w:type="dxa"/>
        <w:bottom w:w="0" w:type="dxa"/>
        <w:right w:w="0" w:type="dxa"/>
      </w:tblCellMar>
    </w:tblPr>
  </w:style>
  <w:style w:type="table" w:customStyle="1" w:styleId="168">
    <w:name w:val="Lined - Accent 6"/>
    <w:qFormat/>
    <w:uiPriority w:val="99"/>
    <w:rPr>
      <w:color w:val="404040"/>
    </w:rPr>
    <w:tblPr>
      <w:tblCellMar>
        <w:top w:w="0" w:type="dxa"/>
        <w:left w:w="0" w:type="dxa"/>
        <w:bottom w:w="0" w:type="dxa"/>
        <w:right w:w="0" w:type="dxa"/>
      </w:tblCellMar>
    </w:tblPr>
  </w:style>
  <w:style w:type="table" w:customStyle="1" w:styleId="169">
    <w:name w:val="Bordered &amp; Lined - Accent"/>
    <w:qFormat/>
    <w:uiPriority w:val="99"/>
    <w:rPr>
      <w:color w:val="404040"/>
    </w:rPr>
    <w:tblPr>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CellMar>
        <w:top w:w="0" w:type="dxa"/>
        <w:left w:w="0" w:type="dxa"/>
        <w:bottom w:w="0" w:type="dxa"/>
        <w:right w:w="0" w:type="dxa"/>
      </w:tblCellMar>
    </w:tblPr>
  </w:style>
  <w:style w:type="table" w:customStyle="1" w:styleId="170">
    <w:name w:val="Bordered &amp; Lined - Accent 1"/>
    <w:qFormat/>
    <w:uiPriority w:val="99"/>
    <w:rPr>
      <w:color w:val="404040"/>
    </w:rPr>
    <w:tblPr>
      <w:tblBorders>
        <w:top w:val="single" w:color="2A4A71" w:sz="4" w:space="0"/>
        <w:left w:val="single" w:color="2A4A71" w:sz="4" w:space="0"/>
        <w:bottom w:val="single" w:color="2A4A71" w:sz="4" w:space="0"/>
        <w:right w:val="single" w:color="2A4A71" w:sz="4" w:space="0"/>
        <w:insideH w:val="single" w:color="2A4A71" w:sz="4" w:space="0"/>
        <w:insideV w:val="single" w:color="2A4A71" w:sz="4" w:space="0"/>
      </w:tblBorders>
      <w:tblCellMar>
        <w:top w:w="0" w:type="dxa"/>
        <w:left w:w="0" w:type="dxa"/>
        <w:bottom w:w="0" w:type="dxa"/>
        <w:right w:w="0" w:type="dxa"/>
      </w:tblCellMar>
    </w:tblPr>
  </w:style>
  <w:style w:type="table" w:customStyle="1" w:styleId="171">
    <w:name w:val="Bordered &amp; Lined - Accent 2"/>
    <w:qFormat/>
    <w:uiPriority w:val="99"/>
    <w:rPr>
      <w:color w:val="404040"/>
    </w:rPr>
    <w:tblPr>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CellMar>
        <w:top w:w="0" w:type="dxa"/>
        <w:left w:w="0" w:type="dxa"/>
        <w:bottom w:w="0" w:type="dxa"/>
        <w:right w:w="0" w:type="dxa"/>
      </w:tblCellMar>
    </w:tblPr>
  </w:style>
  <w:style w:type="table" w:customStyle="1" w:styleId="172">
    <w:name w:val="Bordered &amp; Lined - Accent 3"/>
    <w:qFormat/>
    <w:uiPriority w:val="99"/>
    <w:rPr>
      <w:color w:val="404040"/>
    </w:rPr>
    <w:tblPr>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CellMar>
        <w:top w:w="0" w:type="dxa"/>
        <w:left w:w="0" w:type="dxa"/>
        <w:bottom w:w="0" w:type="dxa"/>
        <w:right w:w="0" w:type="dxa"/>
      </w:tblCellMar>
    </w:tblPr>
  </w:style>
  <w:style w:type="table" w:customStyle="1" w:styleId="173">
    <w:name w:val="Bordered &amp; Lined - Accent 4"/>
    <w:qFormat/>
    <w:uiPriority w:val="99"/>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top w:w="0" w:type="dxa"/>
        <w:left w:w="0" w:type="dxa"/>
        <w:bottom w:w="0" w:type="dxa"/>
        <w:right w:w="0" w:type="dxa"/>
      </w:tblCellMar>
    </w:tblPr>
  </w:style>
  <w:style w:type="table" w:customStyle="1" w:styleId="174">
    <w:name w:val="Bordered &amp; Lined - Accent 5"/>
    <w:qFormat/>
    <w:uiPriority w:val="99"/>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top w:w="0" w:type="dxa"/>
        <w:left w:w="0" w:type="dxa"/>
        <w:bottom w:w="0" w:type="dxa"/>
        <w:right w:w="0" w:type="dxa"/>
      </w:tblCellMar>
    </w:tblPr>
  </w:style>
  <w:style w:type="table" w:customStyle="1" w:styleId="175">
    <w:name w:val="Bordered &amp; Lined - Accent 6"/>
    <w:qFormat/>
    <w:uiPriority w:val="99"/>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top w:w="0" w:type="dxa"/>
        <w:left w:w="0" w:type="dxa"/>
        <w:bottom w:w="0" w:type="dxa"/>
        <w:right w:w="0" w:type="dxa"/>
      </w:tblCellMar>
    </w:tblPr>
  </w:style>
  <w:style w:type="table" w:customStyle="1" w:styleId="176">
    <w:name w:val="Bordered"/>
    <w:qFormat/>
    <w:uiPriority w:val="99"/>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top w:w="0" w:type="dxa"/>
        <w:left w:w="0" w:type="dxa"/>
        <w:bottom w:w="0" w:type="dxa"/>
        <w:right w:w="0" w:type="dxa"/>
      </w:tblCellMar>
    </w:tblPr>
  </w:style>
  <w:style w:type="table" w:customStyle="1" w:styleId="177">
    <w:name w:val="Bordered - Accent 1"/>
    <w:qFormat/>
    <w:uiPriority w:val="99"/>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top w:w="0" w:type="dxa"/>
        <w:left w:w="0" w:type="dxa"/>
        <w:bottom w:w="0" w:type="dxa"/>
        <w:right w:w="0" w:type="dxa"/>
      </w:tblCellMar>
    </w:tblPr>
  </w:style>
  <w:style w:type="table" w:customStyle="1" w:styleId="178">
    <w:name w:val="Bordered - Accent 2"/>
    <w:qFormat/>
    <w:uiPriority w:val="99"/>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top w:w="0" w:type="dxa"/>
        <w:left w:w="0" w:type="dxa"/>
        <w:bottom w:w="0" w:type="dxa"/>
        <w:right w:w="0" w:type="dxa"/>
      </w:tblCellMar>
    </w:tblPr>
  </w:style>
  <w:style w:type="table" w:customStyle="1" w:styleId="179">
    <w:name w:val="Bordered - Accent 3"/>
    <w:qFormat/>
    <w:uiPriority w:val="99"/>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top w:w="0" w:type="dxa"/>
        <w:left w:w="0" w:type="dxa"/>
        <w:bottom w:w="0" w:type="dxa"/>
        <w:right w:w="0" w:type="dxa"/>
      </w:tblCellMar>
    </w:tblPr>
  </w:style>
  <w:style w:type="table" w:customStyle="1" w:styleId="180">
    <w:name w:val="Bordered - Accent 4"/>
    <w:qFormat/>
    <w:uiPriority w:val="99"/>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top w:w="0" w:type="dxa"/>
        <w:left w:w="0" w:type="dxa"/>
        <w:bottom w:w="0" w:type="dxa"/>
        <w:right w:w="0" w:type="dxa"/>
      </w:tblCellMar>
    </w:tblPr>
  </w:style>
  <w:style w:type="table" w:customStyle="1" w:styleId="181">
    <w:name w:val="Bordered - Accent 5"/>
    <w:qFormat/>
    <w:uiPriority w:val="99"/>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top w:w="0" w:type="dxa"/>
        <w:left w:w="0" w:type="dxa"/>
        <w:bottom w:w="0" w:type="dxa"/>
        <w:right w:w="0" w:type="dxa"/>
      </w:tblCellMar>
    </w:tblPr>
  </w:style>
  <w:style w:type="table" w:customStyle="1" w:styleId="182">
    <w:name w:val="Bordered - Accent 6"/>
    <w:qFormat/>
    <w:uiPriority w:val="99"/>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top w:w="0" w:type="dxa"/>
        <w:left w:w="0" w:type="dxa"/>
        <w:bottom w:w="0" w:type="dxa"/>
        <w:right w:w="0" w:type="dxa"/>
      </w:tblCellMar>
    </w:tblPr>
  </w:style>
  <w:style w:type="character" w:customStyle="1" w:styleId="183">
    <w:name w:val="脚注文本 字符1"/>
    <w:link w:val="26"/>
    <w:qFormat/>
    <w:uiPriority w:val="99"/>
    <w:rPr>
      <w:sz w:val="18"/>
    </w:rPr>
  </w:style>
  <w:style w:type="character" w:customStyle="1" w:styleId="184">
    <w:name w:val="尾注文本 字符"/>
    <w:link w:val="20"/>
    <w:qFormat/>
    <w:uiPriority w:val="99"/>
    <w:rPr>
      <w:sz w:val="20"/>
    </w:rPr>
  </w:style>
  <w:style w:type="paragraph" w:customStyle="1" w:styleId="185">
    <w:name w:val="TOC 标题1"/>
    <w:unhideWhenUsed/>
    <w:qFormat/>
    <w:uiPriority w:val="39"/>
    <w:rPr>
      <w:rFonts w:ascii="Times New Roman" w:hAnsi="Times New Roman" w:eastAsia="宋体" w:cs="Times New Roman"/>
      <w:lang w:val="en-US" w:eastAsia="zh-CN" w:bidi="ar-SA"/>
    </w:rPr>
  </w:style>
  <w:style w:type="paragraph" w:customStyle="1" w:styleId="186">
    <w:name w:val="标题 11"/>
    <w:basedOn w:val="1"/>
    <w:next w:val="1"/>
    <w:link w:val="197"/>
    <w:qFormat/>
    <w:uiPriority w:val="0"/>
    <w:pPr>
      <w:keepNext/>
      <w:keepLines/>
      <w:spacing w:before="340" w:after="330" w:line="576" w:lineRule="auto"/>
      <w:jc w:val="center"/>
      <w:outlineLvl w:val="0"/>
    </w:pPr>
    <w:rPr>
      <w:b/>
      <w:bCs/>
      <w:sz w:val="44"/>
      <w:szCs w:val="44"/>
    </w:rPr>
  </w:style>
  <w:style w:type="paragraph" w:customStyle="1" w:styleId="187">
    <w:name w:val="标题 21"/>
    <w:basedOn w:val="1"/>
    <w:next w:val="1"/>
    <w:link w:val="198"/>
    <w:qFormat/>
    <w:uiPriority w:val="0"/>
    <w:pPr>
      <w:keepNext/>
      <w:keepLines/>
      <w:spacing w:before="260" w:after="260" w:line="415" w:lineRule="auto"/>
      <w:outlineLvl w:val="1"/>
    </w:pPr>
    <w:rPr>
      <w:rFonts w:ascii="Arial" w:hAnsi="Arial" w:eastAsia="黑体"/>
      <w:b/>
      <w:bCs/>
      <w:sz w:val="32"/>
      <w:szCs w:val="32"/>
    </w:rPr>
  </w:style>
  <w:style w:type="paragraph" w:customStyle="1" w:styleId="188">
    <w:name w:val="标题 31"/>
    <w:basedOn w:val="1"/>
    <w:next w:val="1"/>
    <w:link w:val="199"/>
    <w:qFormat/>
    <w:uiPriority w:val="99"/>
    <w:pPr>
      <w:keepNext/>
      <w:keepLines/>
      <w:spacing w:before="20" w:after="20" w:line="415" w:lineRule="auto"/>
      <w:ind w:firstLine="137"/>
      <w:outlineLvl w:val="2"/>
    </w:pPr>
    <w:rPr>
      <w:rFonts w:hAnsi="黑体" w:eastAsia="黑体"/>
      <w:sz w:val="24"/>
      <w:szCs w:val="20"/>
    </w:rPr>
  </w:style>
  <w:style w:type="paragraph" w:customStyle="1" w:styleId="189">
    <w:name w:val="标题 41"/>
    <w:basedOn w:val="1"/>
    <w:next w:val="1"/>
    <w:link w:val="200"/>
    <w:qFormat/>
    <w:uiPriority w:val="99"/>
    <w:pPr>
      <w:keepNext/>
      <w:keepLines/>
      <w:spacing w:before="280" w:after="290" w:line="374" w:lineRule="auto"/>
      <w:outlineLvl w:val="3"/>
    </w:pPr>
    <w:rPr>
      <w:rFonts w:hint="eastAsia" w:ascii="Cambria" w:hAnsi="Cambria"/>
      <w:b/>
      <w:sz w:val="28"/>
      <w:szCs w:val="20"/>
    </w:rPr>
  </w:style>
  <w:style w:type="paragraph" w:customStyle="1" w:styleId="190">
    <w:name w:val="标题 51"/>
    <w:basedOn w:val="1"/>
    <w:next w:val="1"/>
    <w:link w:val="201"/>
    <w:qFormat/>
    <w:uiPriority w:val="9"/>
    <w:pPr>
      <w:keepNext/>
      <w:keepLines/>
      <w:spacing w:before="280" w:after="290" w:line="376" w:lineRule="auto"/>
      <w:outlineLvl w:val="4"/>
    </w:pPr>
    <w:rPr>
      <w:b/>
      <w:bCs/>
      <w:sz w:val="28"/>
      <w:szCs w:val="28"/>
    </w:rPr>
  </w:style>
  <w:style w:type="paragraph" w:customStyle="1" w:styleId="191">
    <w:name w:val="标题 61"/>
    <w:basedOn w:val="1"/>
    <w:next w:val="1"/>
    <w:link w:val="202"/>
    <w:qFormat/>
    <w:uiPriority w:val="0"/>
    <w:pPr>
      <w:keepNext/>
      <w:keepLines/>
      <w:widowControl/>
      <w:tabs>
        <w:tab w:val="left" w:pos="1440"/>
      </w:tabs>
      <w:spacing w:before="240" w:after="64" w:line="319" w:lineRule="auto"/>
      <w:ind w:left="1152" w:hanging="1152"/>
      <w:jc w:val="left"/>
      <w:outlineLvl w:val="5"/>
    </w:pPr>
    <w:rPr>
      <w:rFonts w:ascii="Arial" w:hAnsi="Arial" w:eastAsia="黑体"/>
      <w:b/>
      <w:bCs/>
      <w:sz w:val="24"/>
    </w:rPr>
  </w:style>
  <w:style w:type="paragraph" w:customStyle="1" w:styleId="192">
    <w:name w:val="标题 71"/>
    <w:basedOn w:val="1"/>
    <w:next w:val="1"/>
    <w:link w:val="203"/>
    <w:qFormat/>
    <w:uiPriority w:val="0"/>
    <w:pPr>
      <w:keepNext/>
      <w:keepLines/>
      <w:widowControl/>
      <w:tabs>
        <w:tab w:val="left" w:pos="2520"/>
      </w:tabs>
      <w:spacing w:before="240" w:after="64" w:line="319" w:lineRule="auto"/>
      <w:ind w:left="1296" w:hanging="1296"/>
      <w:jc w:val="left"/>
      <w:outlineLvl w:val="6"/>
    </w:pPr>
    <w:rPr>
      <w:b/>
      <w:bCs/>
      <w:sz w:val="24"/>
    </w:rPr>
  </w:style>
  <w:style w:type="paragraph" w:customStyle="1" w:styleId="193">
    <w:name w:val="标题 81"/>
    <w:basedOn w:val="1"/>
    <w:next w:val="1"/>
    <w:link w:val="204"/>
    <w:qFormat/>
    <w:uiPriority w:val="0"/>
    <w:pPr>
      <w:keepNext/>
      <w:keepLines/>
      <w:widowControl/>
      <w:tabs>
        <w:tab w:val="left" w:pos="1440"/>
      </w:tabs>
      <w:spacing w:before="240" w:after="64" w:line="319" w:lineRule="auto"/>
      <w:ind w:left="1440" w:hanging="1440"/>
      <w:jc w:val="left"/>
      <w:outlineLvl w:val="7"/>
    </w:pPr>
    <w:rPr>
      <w:rFonts w:ascii="Arial" w:hAnsi="Arial" w:eastAsia="黑体"/>
      <w:sz w:val="24"/>
    </w:rPr>
  </w:style>
  <w:style w:type="paragraph" w:customStyle="1" w:styleId="194">
    <w:name w:val="标题 91"/>
    <w:basedOn w:val="1"/>
    <w:next w:val="1"/>
    <w:link w:val="205"/>
    <w:qFormat/>
    <w:uiPriority w:val="0"/>
    <w:pPr>
      <w:keepNext/>
      <w:keepLines/>
      <w:widowControl/>
      <w:tabs>
        <w:tab w:val="left" w:pos="1584"/>
      </w:tabs>
      <w:spacing w:before="240" w:after="64" w:line="319" w:lineRule="auto"/>
      <w:ind w:left="1584" w:hanging="1584"/>
      <w:jc w:val="left"/>
      <w:outlineLvl w:val="8"/>
    </w:pPr>
    <w:rPr>
      <w:rFonts w:ascii="Arial" w:hAnsi="Arial" w:eastAsia="黑体"/>
      <w:szCs w:val="21"/>
    </w:rPr>
  </w:style>
  <w:style w:type="character" w:customStyle="1" w:styleId="195">
    <w:name w:val="默认段落字体1"/>
    <w:qFormat/>
    <w:uiPriority w:val="0"/>
  </w:style>
  <w:style w:type="table" w:customStyle="1" w:styleId="196">
    <w:name w:val="普通表格1"/>
    <w:semiHidden/>
    <w:qFormat/>
    <w:uiPriority w:val="0"/>
    <w:tblPr>
      <w:tblCellMar>
        <w:top w:w="0" w:type="dxa"/>
        <w:left w:w="0" w:type="dxa"/>
        <w:bottom w:w="0" w:type="dxa"/>
        <w:right w:w="0" w:type="dxa"/>
      </w:tblCellMar>
    </w:tblPr>
  </w:style>
  <w:style w:type="character" w:customStyle="1" w:styleId="197">
    <w:name w:val="标题 1 字符"/>
    <w:link w:val="186"/>
    <w:qFormat/>
    <w:uiPriority w:val="0"/>
    <w:rPr>
      <w:b/>
      <w:bCs/>
      <w:sz w:val="44"/>
      <w:szCs w:val="44"/>
    </w:rPr>
  </w:style>
  <w:style w:type="character" w:customStyle="1" w:styleId="198">
    <w:name w:val="标题 2 字符"/>
    <w:link w:val="187"/>
    <w:qFormat/>
    <w:uiPriority w:val="0"/>
    <w:rPr>
      <w:rFonts w:ascii="Arial" w:hAnsi="Arial" w:eastAsia="黑体"/>
      <w:b/>
      <w:bCs/>
      <w:sz w:val="32"/>
      <w:szCs w:val="32"/>
    </w:rPr>
  </w:style>
  <w:style w:type="character" w:customStyle="1" w:styleId="199">
    <w:name w:val="标题 3 字符1"/>
    <w:link w:val="188"/>
    <w:unhideWhenUsed/>
    <w:qFormat/>
    <w:uiPriority w:val="99"/>
    <w:rPr>
      <w:rFonts w:hAnsi="黑体" w:eastAsia="黑体"/>
      <w:sz w:val="24"/>
    </w:rPr>
  </w:style>
  <w:style w:type="character" w:customStyle="1" w:styleId="200">
    <w:name w:val="标题 4 字符"/>
    <w:link w:val="189"/>
    <w:unhideWhenUsed/>
    <w:qFormat/>
    <w:uiPriority w:val="99"/>
    <w:rPr>
      <w:rFonts w:hint="eastAsia" w:ascii="Cambria" w:hAnsi="Cambria" w:eastAsia="宋体"/>
      <w:b/>
      <w:sz w:val="28"/>
    </w:rPr>
  </w:style>
  <w:style w:type="character" w:customStyle="1" w:styleId="201">
    <w:name w:val="标题 5 字符"/>
    <w:link w:val="190"/>
    <w:qFormat/>
    <w:uiPriority w:val="9"/>
    <w:rPr>
      <w:b/>
      <w:bCs/>
      <w:sz w:val="28"/>
      <w:szCs w:val="28"/>
    </w:rPr>
  </w:style>
  <w:style w:type="character" w:customStyle="1" w:styleId="202">
    <w:name w:val="标题 6 字符"/>
    <w:link w:val="191"/>
    <w:qFormat/>
    <w:uiPriority w:val="0"/>
    <w:rPr>
      <w:rFonts w:ascii="Arial" w:hAnsi="Arial" w:eastAsia="黑体"/>
      <w:b/>
      <w:bCs/>
      <w:sz w:val="24"/>
      <w:szCs w:val="24"/>
    </w:rPr>
  </w:style>
  <w:style w:type="character" w:customStyle="1" w:styleId="203">
    <w:name w:val="标题 7 字符"/>
    <w:link w:val="192"/>
    <w:qFormat/>
    <w:uiPriority w:val="0"/>
    <w:rPr>
      <w:b/>
      <w:bCs/>
      <w:sz w:val="24"/>
      <w:szCs w:val="24"/>
    </w:rPr>
  </w:style>
  <w:style w:type="character" w:customStyle="1" w:styleId="204">
    <w:name w:val="标题 8 字符"/>
    <w:link w:val="193"/>
    <w:qFormat/>
    <w:uiPriority w:val="0"/>
    <w:rPr>
      <w:rFonts w:ascii="Arial" w:hAnsi="Arial" w:eastAsia="黑体"/>
      <w:sz w:val="24"/>
      <w:szCs w:val="24"/>
    </w:rPr>
  </w:style>
  <w:style w:type="character" w:customStyle="1" w:styleId="205">
    <w:name w:val="标题 9 字符"/>
    <w:link w:val="194"/>
    <w:qFormat/>
    <w:uiPriority w:val="0"/>
    <w:rPr>
      <w:rFonts w:ascii="Arial" w:hAnsi="Arial" w:eastAsia="黑体"/>
      <w:sz w:val="21"/>
      <w:szCs w:val="21"/>
    </w:rPr>
  </w:style>
  <w:style w:type="paragraph" w:customStyle="1" w:styleId="206">
    <w:name w:val="目录 71"/>
    <w:basedOn w:val="1"/>
    <w:next w:val="1"/>
    <w:qFormat/>
    <w:uiPriority w:val="39"/>
    <w:pPr>
      <w:ind w:left="2520"/>
    </w:pPr>
  </w:style>
  <w:style w:type="character" w:customStyle="1" w:styleId="207">
    <w:name w:val="正文缩进 字符"/>
    <w:link w:val="2"/>
    <w:qFormat/>
    <w:uiPriority w:val="0"/>
    <w:rPr>
      <w:b/>
      <w:sz w:val="24"/>
    </w:rPr>
  </w:style>
  <w:style w:type="paragraph" w:customStyle="1" w:styleId="208">
    <w:name w:val="题注1"/>
    <w:basedOn w:val="1"/>
    <w:next w:val="1"/>
    <w:qFormat/>
    <w:uiPriority w:val="35"/>
    <w:rPr>
      <w:rFonts w:ascii="Cambria" w:hAnsi="Cambria" w:eastAsia="黑体"/>
      <w:sz w:val="20"/>
      <w:szCs w:val="20"/>
    </w:rPr>
  </w:style>
  <w:style w:type="paragraph" w:customStyle="1" w:styleId="209">
    <w:name w:val="文档结构图1"/>
    <w:basedOn w:val="1"/>
    <w:link w:val="210"/>
    <w:qFormat/>
    <w:uiPriority w:val="0"/>
    <w:pPr>
      <w:shd w:val="clear" w:color="auto" w:fill="000080"/>
    </w:pPr>
  </w:style>
  <w:style w:type="character" w:customStyle="1" w:styleId="210">
    <w:name w:val="文档结构图 字符"/>
    <w:link w:val="209"/>
    <w:qFormat/>
    <w:uiPriority w:val="0"/>
    <w:rPr>
      <w:sz w:val="21"/>
      <w:szCs w:val="24"/>
      <w:shd w:val="clear" w:color="auto" w:fill="000080"/>
    </w:rPr>
  </w:style>
  <w:style w:type="paragraph" w:customStyle="1" w:styleId="211">
    <w:name w:val="批注文字1"/>
    <w:basedOn w:val="1"/>
    <w:link w:val="212"/>
    <w:unhideWhenUsed/>
    <w:qFormat/>
    <w:uiPriority w:val="99"/>
    <w:pPr>
      <w:jc w:val="left"/>
    </w:pPr>
    <w:rPr>
      <w:szCs w:val="20"/>
    </w:rPr>
  </w:style>
  <w:style w:type="character" w:customStyle="1" w:styleId="212">
    <w:name w:val="批注文字 字符"/>
    <w:link w:val="211"/>
    <w:semiHidden/>
    <w:qFormat/>
    <w:uiPriority w:val="99"/>
    <w:rPr>
      <w:sz w:val="21"/>
    </w:rPr>
  </w:style>
  <w:style w:type="paragraph" w:customStyle="1" w:styleId="213">
    <w:name w:val="正文文本 31"/>
    <w:basedOn w:val="1"/>
    <w:link w:val="214"/>
    <w:qFormat/>
    <w:uiPriority w:val="0"/>
    <w:rPr>
      <w:rFonts w:ascii="宋体"/>
      <w:sz w:val="24"/>
      <w:szCs w:val="20"/>
    </w:rPr>
  </w:style>
  <w:style w:type="character" w:customStyle="1" w:styleId="214">
    <w:name w:val="正文文本 3 字符"/>
    <w:link w:val="213"/>
    <w:qFormat/>
    <w:uiPriority w:val="0"/>
    <w:rPr>
      <w:rFonts w:ascii="宋体"/>
      <w:sz w:val="24"/>
    </w:rPr>
  </w:style>
  <w:style w:type="paragraph" w:customStyle="1" w:styleId="215">
    <w:name w:val="正文文本1"/>
    <w:basedOn w:val="1"/>
    <w:next w:val="1"/>
    <w:link w:val="216"/>
    <w:qFormat/>
    <w:uiPriority w:val="0"/>
    <w:pPr>
      <w:spacing w:after="120"/>
    </w:pPr>
  </w:style>
  <w:style w:type="character" w:customStyle="1" w:styleId="216">
    <w:name w:val="正文文本 字符"/>
    <w:link w:val="215"/>
    <w:qFormat/>
    <w:uiPriority w:val="0"/>
    <w:rPr>
      <w:sz w:val="21"/>
      <w:szCs w:val="24"/>
    </w:rPr>
  </w:style>
  <w:style w:type="paragraph" w:customStyle="1" w:styleId="217">
    <w:name w:val="正文文本缩进11"/>
    <w:basedOn w:val="1"/>
    <w:link w:val="218"/>
    <w:qFormat/>
    <w:uiPriority w:val="0"/>
    <w:pPr>
      <w:spacing w:line="360" w:lineRule="auto"/>
      <w:ind w:firstLine="420"/>
    </w:pPr>
    <w:rPr>
      <w:rFonts w:ascii="宋体"/>
      <w:sz w:val="24"/>
      <w:szCs w:val="20"/>
    </w:rPr>
  </w:style>
  <w:style w:type="character" w:customStyle="1" w:styleId="218">
    <w:name w:val="正文文本缩进 字符"/>
    <w:link w:val="217"/>
    <w:qFormat/>
    <w:uiPriority w:val="0"/>
    <w:rPr>
      <w:rFonts w:ascii="宋体"/>
      <w:sz w:val="24"/>
    </w:rPr>
  </w:style>
  <w:style w:type="paragraph" w:customStyle="1" w:styleId="219">
    <w:name w:val="索引 41"/>
    <w:basedOn w:val="1"/>
    <w:next w:val="1"/>
    <w:unhideWhenUsed/>
    <w:qFormat/>
    <w:uiPriority w:val="99"/>
    <w:pPr>
      <w:ind w:left="600"/>
    </w:pPr>
  </w:style>
  <w:style w:type="paragraph" w:customStyle="1" w:styleId="220">
    <w:name w:val="目录 51"/>
    <w:basedOn w:val="1"/>
    <w:next w:val="1"/>
    <w:qFormat/>
    <w:uiPriority w:val="39"/>
    <w:pPr>
      <w:ind w:left="1680"/>
    </w:pPr>
  </w:style>
  <w:style w:type="paragraph" w:customStyle="1" w:styleId="221">
    <w:name w:val="目录 31"/>
    <w:basedOn w:val="1"/>
    <w:next w:val="1"/>
    <w:qFormat/>
    <w:uiPriority w:val="39"/>
    <w:pPr>
      <w:ind w:left="840"/>
    </w:pPr>
  </w:style>
  <w:style w:type="paragraph" w:customStyle="1" w:styleId="222">
    <w:name w:val="纯文本11"/>
    <w:basedOn w:val="1"/>
    <w:link w:val="223"/>
    <w:qFormat/>
    <w:uiPriority w:val="0"/>
    <w:rPr>
      <w:rFonts w:ascii="宋体" w:hAnsi="Courier New"/>
      <w:sz w:val="28"/>
      <w:szCs w:val="20"/>
    </w:rPr>
  </w:style>
  <w:style w:type="character" w:customStyle="1" w:styleId="223">
    <w:name w:val="纯文本 字符"/>
    <w:link w:val="222"/>
    <w:qFormat/>
    <w:uiPriority w:val="0"/>
    <w:rPr>
      <w:rFonts w:ascii="宋体" w:hAnsi="Courier New"/>
      <w:sz w:val="28"/>
    </w:rPr>
  </w:style>
  <w:style w:type="paragraph" w:customStyle="1" w:styleId="224">
    <w:name w:val="目录 81"/>
    <w:basedOn w:val="1"/>
    <w:next w:val="1"/>
    <w:qFormat/>
    <w:uiPriority w:val="39"/>
    <w:pPr>
      <w:ind w:left="2940"/>
    </w:pPr>
  </w:style>
  <w:style w:type="paragraph" w:customStyle="1" w:styleId="225">
    <w:name w:val="日期1"/>
    <w:basedOn w:val="1"/>
    <w:next w:val="1"/>
    <w:link w:val="226"/>
    <w:qFormat/>
    <w:uiPriority w:val="0"/>
    <w:pPr>
      <w:ind w:left="100"/>
    </w:pPr>
  </w:style>
  <w:style w:type="character" w:customStyle="1" w:styleId="226">
    <w:name w:val="日期 字符"/>
    <w:link w:val="225"/>
    <w:qFormat/>
    <w:uiPriority w:val="0"/>
    <w:rPr>
      <w:sz w:val="21"/>
      <w:szCs w:val="24"/>
    </w:rPr>
  </w:style>
  <w:style w:type="paragraph" w:customStyle="1" w:styleId="227">
    <w:name w:val="正文文本缩进 21"/>
    <w:basedOn w:val="1"/>
    <w:link w:val="228"/>
    <w:qFormat/>
    <w:uiPriority w:val="0"/>
    <w:pPr>
      <w:spacing w:line="420" w:lineRule="exact"/>
      <w:ind w:firstLine="525"/>
    </w:pPr>
    <w:rPr>
      <w:rFonts w:ascii="宋体"/>
      <w:szCs w:val="20"/>
    </w:rPr>
  </w:style>
  <w:style w:type="character" w:customStyle="1" w:styleId="228">
    <w:name w:val="正文文本缩进 2 字符"/>
    <w:link w:val="227"/>
    <w:qFormat/>
    <w:uiPriority w:val="0"/>
    <w:rPr>
      <w:rFonts w:ascii="宋体"/>
      <w:sz w:val="21"/>
    </w:rPr>
  </w:style>
  <w:style w:type="paragraph" w:customStyle="1" w:styleId="229">
    <w:name w:val="批注框文本1"/>
    <w:basedOn w:val="1"/>
    <w:link w:val="230"/>
    <w:unhideWhenUsed/>
    <w:qFormat/>
    <w:uiPriority w:val="99"/>
    <w:rPr>
      <w:sz w:val="18"/>
      <w:szCs w:val="18"/>
    </w:rPr>
  </w:style>
  <w:style w:type="character" w:customStyle="1" w:styleId="230">
    <w:name w:val="批注框文本 字符"/>
    <w:link w:val="229"/>
    <w:qFormat/>
    <w:uiPriority w:val="99"/>
    <w:rPr>
      <w:sz w:val="18"/>
      <w:szCs w:val="18"/>
    </w:rPr>
  </w:style>
  <w:style w:type="paragraph" w:customStyle="1" w:styleId="231">
    <w:name w:val="页脚1"/>
    <w:basedOn w:val="1"/>
    <w:link w:val="232"/>
    <w:qFormat/>
    <w:uiPriority w:val="0"/>
    <w:pPr>
      <w:tabs>
        <w:tab w:val="center" w:pos="4153"/>
        <w:tab w:val="right" w:pos="8306"/>
      </w:tabs>
      <w:jc w:val="left"/>
    </w:pPr>
    <w:rPr>
      <w:sz w:val="18"/>
      <w:szCs w:val="20"/>
    </w:rPr>
  </w:style>
  <w:style w:type="character" w:customStyle="1" w:styleId="232">
    <w:name w:val="页脚 字符"/>
    <w:link w:val="231"/>
    <w:unhideWhenUsed/>
    <w:qFormat/>
    <w:uiPriority w:val="0"/>
    <w:rPr>
      <w:rFonts w:eastAsia="宋体"/>
      <w:sz w:val="18"/>
    </w:rPr>
  </w:style>
  <w:style w:type="paragraph" w:customStyle="1" w:styleId="233">
    <w:name w:val="页眉1"/>
    <w:basedOn w:val="1"/>
    <w:link w:val="234"/>
    <w:qFormat/>
    <w:uiPriority w:val="0"/>
    <w:pPr>
      <w:pBdr>
        <w:top w:val="none" w:color="000000" w:sz="0" w:space="1"/>
        <w:left w:val="none" w:color="000000" w:sz="0" w:space="4"/>
        <w:bottom w:val="none" w:color="000000" w:sz="0" w:space="1"/>
        <w:right w:val="none" w:color="000000" w:sz="0" w:space="4"/>
      </w:pBdr>
      <w:tabs>
        <w:tab w:val="center" w:pos="4153"/>
        <w:tab w:val="right" w:pos="8306"/>
      </w:tabs>
      <w:spacing w:line="240" w:lineRule="auto"/>
    </w:pPr>
    <w:rPr>
      <w:sz w:val="18"/>
      <w:szCs w:val="20"/>
    </w:rPr>
  </w:style>
  <w:style w:type="character" w:customStyle="1" w:styleId="234">
    <w:name w:val="页眉 字符"/>
    <w:link w:val="233"/>
    <w:unhideWhenUsed/>
    <w:qFormat/>
    <w:uiPriority w:val="0"/>
    <w:rPr>
      <w:rFonts w:eastAsia="宋体"/>
      <w:sz w:val="18"/>
      <w:lang w:val="en-US" w:eastAsia="zh-CN"/>
    </w:rPr>
  </w:style>
  <w:style w:type="paragraph" w:customStyle="1" w:styleId="235">
    <w:name w:val="目录 11"/>
    <w:basedOn w:val="1"/>
    <w:next w:val="1"/>
    <w:qFormat/>
    <w:uiPriority w:val="39"/>
  </w:style>
  <w:style w:type="paragraph" w:customStyle="1" w:styleId="236">
    <w:name w:val="目录 41"/>
    <w:basedOn w:val="1"/>
    <w:next w:val="1"/>
    <w:qFormat/>
    <w:uiPriority w:val="39"/>
    <w:pPr>
      <w:ind w:left="1260"/>
    </w:pPr>
  </w:style>
  <w:style w:type="paragraph" w:customStyle="1" w:styleId="237">
    <w:name w:val="副标题1"/>
    <w:basedOn w:val="1"/>
    <w:next w:val="1"/>
    <w:link w:val="238"/>
    <w:qFormat/>
    <w:uiPriority w:val="11"/>
    <w:pPr>
      <w:spacing w:before="240" w:after="60" w:line="312" w:lineRule="auto"/>
      <w:jc w:val="center"/>
      <w:outlineLvl w:val="1"/>
    </w:pPr>
    <w:rPr>
      <w:rFonts w:ascii="Cambria" w:hAnsi="Cambria"/>
      <w:b/>
      <w:bCs/>
      <w:sz w:val="32"/>
      <w:szCs w:val="32"/>
    </w:rPr>
  </w:style>
  <w:style w:type="character" w:customStyle="1" w:styleId="238">
    <w:name w:val="副标题 字符"/>
    <w:link w:val="237"/>
    <w:qFormat/>
    <w:uiPriority w:val="11"/>
    <w:rPr>
      <w:rFonts w:ascii="Cambria" w:hAnsi="Cambria" w:cs="Times New Roman"/>
      <w:b/>
      <w:bCs/>
      <w:sz w:val="32"/>
      <w:szCs w:val="32"/>
    </w:rPr>
  </w:style>
  <w:style w:type="paragraph" w:customStyle="1" w:styleId="239">
    <w:name w:val="脚注文本1"/>
    <w:basedOn w:val="1"/>
    <w:link w:val="240"/>
    <w:qFormat/>
    <w:uiPriority w:val="0"/>
    <w:rPr>
      <w:sz w:val="20"/>
      <w:szCs w:val="20"/>
    </w:rPr>
  </w:style>
  <w:style w:type="character" w:customStyle="1" w:styleId="240">
    <w:name w:val="脚注文本 字符"/>
    <w:link w:val="239"/>
    <w:qFormat/>
    <w:uiPriority w:val="0"/>
  </w:style>
  <w:style w:type="paragraph" w:customStyle="1" w:styleId="241">
    <w:name w:val="目录 61"/>
    <w:basedOn w:val="1"/>
    <w:next w:val="1"/>
    <w:qFormat/>
    <w:uiPriority w:val="39"/>
    <w:pPr>
      <w:ind w:left="2100"/>
    </w:pPr>
  </w:style>
  <w:style w:type="paragraph" w:customStyle="1" w:styleId="242">
    <w:name w:val="正文文本缩进 31"/>
    <w:basedOn w:val="1"/>
    <w:link w:val="243"/>
    <w:qFormat/>
    <w:uiPriority w:val="0"/>
    <w:pPr>
      <w:spacing w:after="120"/>
      <w:ind w:left="420"/>
    </w:pPr>
    <w:rPr>
      <w:sz w:val="16"/>
      <w:szCs w:val="16"/>
    </w:rPr>
  </w:style>
  <w:style w:type="character" w:customStyle="1" w:styleId="243">
    <w:name w:val="正文文本缩进 3 字符"/>
    <w:link w:val="242"/>
    <w:qFormat/>
    <w:uiPriority w:val="0"/>
    <w:rPr>
      <w:sz w:val="16"/>
      <w:szCs w:val="16"/>
    </w:rPr>
  </w:style>
  <w:style w:type="paragraph" w:customStyle="1" w:styleId="244">
    <w:name w:val="图表目录1"/>
    <w:basedOn w:val="1"/>
    <w:next w:val="1"/>
    <w:qFormat/>
    <w:uiPriority w:val="0"/>
    <w:pPr>
      <w:ind w:hanging="200"/>
    </w:pPr>
  </w:style>
  <w:style w:type="paragraph" w:customStyle="1" w:styleId="245">
    <w:name w:val="目录 21"/>
    <w:basedOn w:val="1"/>
    <w:next w:val="1"/>
    <w:qFormat/>
    <w:uiPriority w:val="39"/>
    <w:pPr>
      <w:ind w:left="420"/>
    </w:pPr>
  </w:style>
  <w:style w:type="paragraph" w:customStyle="1" w:styleId="246">
    <w:name w:val="目录 91"/>
    <w:basedOn w:val="1"/>
    <w:next w:val="1"/>
    <w:qFormat/>
    <w:uiPriority w:val="39"/>
    <w:pPr>
      <w:ind w:left="3360"/>
    </w:pPr>
  </w:style>
  <w:style w:type="paragraph" w:customStyle="1" w:styleId="247">
    <w:name w:val="正文文本 21"/>
    <w:basedOn w:val="1"/>
    <w:link w:val="248"/>
    <w:qFormat/>
    <w:uiPriority w:val="0"/>
    <w:pPr>
      <w:widowControl/>
      <w:spacing w:after="120" w:line="480" w:lineRule="auto"/>
      <w:jc w:val="left"/>
    </w:pPr>
    <w:rPr>
      <w:sz w:val="24"/>
      <w:szCs w:val="20"/>
    </w:rPr>
  </w:style>
  <w:style w:type="character" w:customStyle="1" w:styleId="248">
    <w:name w:val="正文文本 2 字符"/>
    <w:link w:val="247"/>
    <w:qFormat/>
    <w:uiPriority w:val="0"/>
    <w:rPr>
      <w:sz w:val="24"/>
    </w:rPr>
  </w:style>
  <w:style w:type="paragraph" w:customStyle="1" w:styleId="249">
    <w:name w:val="列表接续 21"/>
    <w:basedOn w:val="1"/>
    <w:qFormat/>
    <w:uiPriority w:val="0"/>
    <w:pPr>
      <w:spacing w:after="120"/>
      <w:ind w:left="840"/>
    </w:pPr>
  </w:style>
  <w:style w:type="paragraph" w:customStyle="1" w:styleId="250">
    <w:name w:val="普通(网站)1"/>
    <w:basedOn w:val="1"/>
    <w:qFormat/>
    <w:uiPriority w:val="99"/>
    <w:pPr>
      <w:widowControl/>
      <w:spacing w:before="100" w:beforeAutospacing="1" w:after="100" w:afterAutospacing="1"/>
      <w:jc w:val="left"/>
    </w:pPr>
    <w:rPr>
      <w:rFonts w:ascii="宋体" w:hAnsi="宋体" w:cs="宋体"/>
      <w:sz w:val="24"/>
    </w:rPr>
  </w:style>
  <w:style w:type="paragraph" w:customStyle="1" w:styleId="251">
    <w:name w:val="标题1"/>
    <w:basedOn w:val="1"/>
    <w:link w:val="252"/>
    <w:qFormat/>
    <w:uiPriority w:val="0"/>
    <w:pPr>
      <w:spacing w:before="240" w:after="60" w:line="420" w:lineRule="atLeast"/>
      <w:jc w:val="center"/>
      <w:outlineLvl w:val="0"/>
    </w:pPr>
    <w:rPr>
      <w:rFonts w:ascii="Arial" w:hAnsi="Arial"/>
      <w:b/>
      <w:sz w:val="32"/>
      <w:szCs w:val="20"/>
    </w:rPr>
  </w:style>
  <w:style w:type="character" w:customStyle="1" w:styleId="252">
    <w:name w:val="标题 字符"/>
    <w:link w:val="251"/>
    <w:qFormat/>
    <w:uiPriority w:val="0"/>
    <w:rPr>
      <w:rFonts w:ascii="Arial" w:hAnsi="Arial"/>
      <w:b/>
      <w:sz w:val="32"/>
    </w:rPr>
  </w:style>
  <w:style w:type="paragraph" w:customStyle="1" w:styleId="253">
    <w:name w:val="批注主题1"/>
    <w:basedOn w:val="211"/>
    <w:next w:val="211"/>
    <w:link w:val="254"/>
    <w:qFormat/>
    <w:uiPriority w:val="0"/>
    <w:rPr>
      <w:b/>
      <w:bCs/>
      <w:szCs w:val="24"/>
    </w:rPr>
  </w:style>
  <w:style w:type="character" w:customStyle="1" w:styleId="254">
    <w:name w:val="批注主题 字符"/>
    <w:link w:val="253"/>
    <w:qFormat/>
    <w:uiPriority w:val="0"/>
    <w:rPr>
      <w:b/>
      <w:bCs/>
      <w:sz w:val="21"/>
      <w:szCs w:val="24"/>
    </w:rPr>
  </w:style>
  <w:style w:type="paragraph" w:customStyle="1" w:styleId="255">
    <w:name w:val="正文首行缩进1"/>
    <w:basedOn w:val="215"/>
    <w:link w:val="256"/>
    <w:unhideWhenUsed/>
    <w:qFormat/>
    <w:uiPriority w:val="99"/>
    <w:pPr>
      <w:ind w:firstLine="420"/>
    </w:pPr>
  </w:style>
  <w:style w:type="character" w:customStyle="1" w:styleId="256">
    <w:name w:val="正文首行缩进 字符"/>
    <w:link w:val="255"/>
    <w:semiHidden/>
    <w:qFormat/>
    <w:uiPriority w:val="99"/>
  </w:style>
  <w:style w:type="paragraph" w:customStyle="1" w:styleId="257">
    <w:name w:val="正文首行缩进 21"/>
    <w:basedOn w:val="217"/>
    <w:link w:val="258"/>
    <w:qFormat/>
    <w:uiPriority w:val="0"/>
    <w:pPr>
      <w:spacing w:after="120" w:line="240" w:lineRule="auto"/>
      <w:ind w:left="420" w:firstLine="210"/>
    </w:pPr>
    <w:rPr>
      <w:rFonts w:ascii="Times New Roman" w:eastAsia="仿宋_GB2312"/>
      <w:sz w:val="30"/>
    </w:rPr>
  </w:style>
  <w:style w:type="character" w:customStyle="1" w:styleId="258">
    <w:name w:val="正文首行缩进 2 字符"/>
    <w:link w:val="257"/>
    <w:qFormat/>
    <w:uiPriority w:val="0"/>
    <w:rPr>
      <w:rFonts w:ascii="宋体" w:eastAsia="仿宋_GB2312"/>
      <w:sz w:val="30"/>
    </w:rPr>
  </w:style>
  <w:style w:type="table" w:customStyle="1" w:styleId="259">
    <w:name w:val="网格型1"/>
    <w:basedOn w:val="196"/>
    <w:unhideWhenUsed/>
    <w:qFormat/>
    <w:uiPriority w:val="39"/>
  </w:style>
  <w:style w:type="character" w:customStyle="1" w:styleId="260">
    <w:name w:val="要点1"/>
    <w:qFormat/>
    <w:uiPriority w:val="22"/>
    <w:rPr>
      <w:b/>
      <w:bCs/>
    </w:rPr>
  </w:style>
  <w:style w:type="character" w:customStyle="1" w:styleId="261">
    <w:name w:val="页码1"/>
    <w:qFormat/>
    <w:uiPriority w:val="0"/>
  </w:style>
  <w:style w:type="character" w:customStyle="1" w:styleId="262">
    <w:name w:val="已访问的超链接1"/>
    <w:qFormat/>
    <w:uiPriority w:val="99"/>
    <w:rPr>
      <w:color w:val="800080"/>
      <w:u w:val="single"/>
    </w:rPr>
  </w:style>
  <w:style w:type="character" w:customStyle="1" w:styleId="263">
    <w:name w:val="强调1"/>
    <w:qFormat/>
    <w:uiPriority w:val="0"/>
    <w:rPr>
      <w:i/>
      <w:iCs/>
    </w:rPr>
  </w:style>
  <w:style w:type="character" w:customStyle="1" w:styleId="264">
    <w:name w:val="HTML 定义1"/>
    <w:qFormat/>
    <w:uiPriority w:val="0"/>
  </w:style>
  <w:style w:type="character" w:customStyle="1" w:styleId="265">
    <w:name w:val="HTML 变量1"/>
    <w:qFormat/>
    <w:uiPriority w:val="0"/>
  </w:style>
  <w:style w:type="character" w:customStyle="1" w:styleId="266">
    <w:name w:val="超链接1"/>
    <w:qFormat/>
    <w:uiPriority w:val="99"/>
    <w:rPr>
      <w:color w:val="0000FF"/>
      <w:u w:val="single"/>
    </w:rPr>
  </w:style>
  <w:style w:type="character" w:customStyle="1" w:styleId="267">
    <w:name w:val="HTML 代码1"/>
    <w:qFormat/>
    <w:uiPriority w:val="0"/>
    <w:rPr>
      <w:rFonts w:ascii="Courier New" w:hAnsi="Courier New"/>
      <w:sz w:val="20"/>
    </w:rPr>
  </w:style>
  <w:style w:type="character" w:customStyle="1" w:styleId="268">
    <w:name w:val="批注引用1"/>
    <w:qFormat/>
    <w:uiPriority w:val="0"/>
    <w:rPr>
      <w:sz w:val="21"/>
      <w:szCs w:val="21"/>
    </w:rPr>
  </w:style>
  <w:style w:type="character" w:customStyle="1" w:styleId="269">
    <w:name w:val="HTML 引文1"/>
    <w:qFormat/>
    <w:uiPriority w:val="0"/>
  </w:style>
  <w:style w:type="character" w:customStyle="1" w:styleId="270">
    <w:name w:val="脚注引用1"/>
    <w:qFormat/>
    <w:uiPriority w:val="0"/>
    <w:rPr>
      <w:vertAlign w:val="superscript"/>
    </w:rPr>
  </w:style>
  <w:style w:type="paragraph" w:customStyle="1" w:styleId="271">
    <w:name w:val="Default"/>
    <w:qFormat/>
    <w:uiPriority w:val="0"/>
    <w:pPr>
      <w:widowControl w:val="0"/>
      <w:spacing w:line="440" w:lineRule="exact"/>
      <w:jc w:val="both"/>
    </w:pPr>
    <w:rPr>
      <w:rFonts w:ascii="仿宋_GB2312" w:hAnsi="Times New Roman" w:eastAsia="仿宋_GB2312" w:cs="仿宋_GB2312"/>
      <w:color w:val="000000"/>
      <w:sz w:val="24"/>
      <w:szCs w:val="24"/>
      <w:lang w:val="en-US" w:eastAsia="zh-CN" w:bidi="ar-SA"/>
    </w:rPr>
  </w:style>
  <w:style w:type="character" w:customStyle="1" w:styleId="272">
    <w:name w:val="明显引用 Char1"/>
    <w:qFormat/>
    <w:uiPriority w:val="30"/>
    <w:rPr>
      <w:b/>
      <w:bCs/>
      <w:i/>
      <w:iCs/>
      <w:color w:val="4F81BD"/>
    </w:rPr>
  </w:style>
  <w:style w:type="character" w:customStyle="1" w:styleId="273">
    <w:name w:val="font161"/>
    <w:qFormat/>
    <w:uiPriority w:val="0"/>
    <w:rPr>
      <w:b/>
      <w:bCs/>
      <w:sz w:val="32"/>
      <w:szCs w:val="32"/>
    </w:rPr>
  </w:style>
  <w:style w:type="character" w:customStyle="1" w:styleId="274">
    <w:name w:val="Char Char7"/>
    <w:qFormat/>
    <w:uiPriority w:val="0"/>
    <w:rPr>
      <w:rFonts w:ascii="Arial" w:hAnsi="Arial" w:eastAsia="黑体"/>
      <w:b/>
      <w:bCs/>
      <w:sz w:val="32"/>
      <w:szCs w:val="32"/>
      <w:lang w:val="en-US" w:eastAsia="zh-CN" w:bidi="ar-SA"/>
    </w:rPr>
  </w:style>
  <w:style w:type="character" w:customStyle="1" w:styleId="275">
    <w:name w:val="不明显强调1"/>
    <w:qFormat/>
    <w:uiPriority w:val="19"/>
    <w:rPr>
      <w:i/>
      <w:iCs/>
      <w:color w:val="808080"/>
    </w:rPr>
  </w:style>
  <w:style w:type="character" w:customStyle="1" w:styleId="276">
    <w:name w:val="页眉 Char"/>
    <w:qFormat/>
    <w:uiPriority w:val="99"/>
    <w:rPr>
      <w:sz w:val="18"/>
    </w:rPr>
  </w:style>
  <w:style w:type="character" w:customStyle="1" w:styleId="277">
    <w:name w:val="font01"/>
    <w:qFormat/>
    <w:uiPriority w:val="0"/>
    <w:rPr>
      <w:rFonts w:hint="eastAsia" w:ascii="宋体" w:hAnsi="宋体" w:eastAsia="宋体" w:cs="宋体"/>
      <w:color w:val="000000"/>
      <w:sz w:val="18"/>
      <w:szCs w:val="18"/>
      <w:u w:val="none"/>
    </w:rPr>
  </w:style>
  <w:style w:type="character" w:customStyle="1" w:styleId="278">
    <w:name w:val="Char Char"/>
    <w:qFormat/>
    <w:uiPriority w:val="0"/>
    <w:rPr>
      <w:rFonts w:ascii="Arial" w:hAnsi="Arial" w:eastAsia="黑体"/>
      <w:b/>
      <w:bCs/>
      <w:sz w:val="32"/>
      <w:szCs w:val="32"/>
      <w:lang w:val="en-US" w:eastAsia="zh-CN" w:bidi="ar-SA"/>
    </w:rPr>
  </w:style>
  <w:style w:type="character" w:customStyle="1" w:styleId="279">
    <w:name w:val="hover21"/>
    <w:qFormat/>
    <w:uiPriority w:val="0"/>
  </w:style>
  <w:style w:type="character" w:customStyle="1" w:styleId="280">
    <w:name w:val="Char Char8"/>
    <w:qFormat/>
    <w:uiPriority w:val="0"/>
    <w:rPr>
      <w:rFonts w:ascii="Arial" w:hAnsi="Arial" w:eastAsia="黑体"/>
      <w:b/>
      <w:bCs/>
      <w:sz w:val="32"/>
      <w:szCs w:val="32"/>
      <w:lang w:val="en-US" w:eastAsia="zh-CN" w:bidi="ar-SA"/>
    </w:rPr>
  </w:style>
  <w:style w:type="character" w:customStyle="1" w:styleId="281">
    <w:name w:val="hover20"/>
    <w:qFormat/>
    <w:uiPriority w:val="0"/>
  </w:style>
  <w:style w:type="character" w:customStyle="1" w:styleId="282">
    <w:name w:val="明显强调1"/>
    <w:qFormat/>
    <w:uiPriority w:val="21"/>
    <w:rPr>
      <w:b/>
      <w:bCs/>
      <w:i/>
      <w:iCs/>
      <w:color w:val="4F81BD"/>
    </w:rPr>
  </w:style>
  <w:style w:type="character" w:customStyle="1" w:styleId="283">
    <w:name w:val="标题 3 字符"/>
    <w:unhideWhenUsed/>
    <w:qFormat/>
    <w:uiPriority w:val="99"/>
    <w:rPr>
      <w:rFonts w:hAnsi="黑体" w:eastAsia="黑体"/>
      <w:sz w:val="24"/>
    </w:rPr>
  </w:style>
  <w:style w:type="character" w:customStyle="1" w:styleId="284">
    <w:name w:val="标题 3 Char"/>
    <w:qFormat/>
    <w:uiPriority w:val="0"/>
    <w:rPr>
      <w:rFonts w:ascii="黑体" w:hAnsi="宋体" w:eastAsia="黑体"/>
      <w:bCs/>
      <w:sz w:val="28"/>
      <w:szCs w:val="28"/>
    </w:rPr>
  </w:style>
  <w:style w:type="character" w:customStyle="1" w:styleId="285">
    <w:name w:val="fontstyle01"/>
    <w:qFormat/>
    <w:uiPriority w:val="0"/>
    <w:rPr>
      <w:rFonts w:hint="eastAsia" w:ascii="宋体" w:hAnsi="宋体" w:eastAsia="宋体"/>
      <w:color w:val="000000"/>
      <w:sz w:val="22"/>
      <w:szCs w:val="22"/>
    </w:rPr>
  </w:style>
  <w:style w:type="character" w:customStyle="1" w:styleId="286">
    <w:name w:val="标题 4 Char"/>
    <w:qFormat/>
    <w:uiPriority w:val="0"/>
    <w:rPr>
      <w:rFonts w:ascii="Arial" w:hAnsi="Arial" w:eastAsia="黑体"/>
      <w:b/>
      <w:bCs/>
      <w:sz w:val="28"/>
      <w:szCs w:val="28"/>
    </w:rPr>
  </w:style>
  <w:style w:type="character" w:customStyle="1" w:styleId="287">
    <w:name w:val="样式 Char"/>
    <w:link w:val="288"/>
    <w:qFormat/>
    <w:uiPriority w:val="0"/>
    <w:rPr>
      <w:rFonts w:ascii="宋体" w:hAnsi="宋体" w:cs="宋体"/>
      <w:sz w:val="24"/>
      <w:szCs w:val="24"/>
      <w:lang w:val="en-US" w:eastAsia="zh-CN" w:bidi="ar-SA"/>
    </w:rPr>
  </w:style>
  <w:style w:type="paragraph" w:customStyle="1" w:styleId="288">
    <w:name w:val="样式"/>
    <w:link w:val="287"/>
    <w:qFormat/>
    <w:uiPriority w:val="0"/>
    <w:pPr>
      <w:widowControl w:val="0"/>
      <w:spacing w:line="440" w:lineRule="exact"/>
      <w:jc w:val="both"/>
    </w:pPr>
    <w:rPr>
      <w:rFonts w:ascii="宋体" w:hAnsi="宋体" w:eastAsia="宋体" w:cs="宋体"/>
      <w:sz w:val="24"/>
      <w:szCs w:val="24"/>
      <w:lang w:val="en-US" w:eastAsia="zh-CN" w:bidi="ar-SA"/>
    </w:rPr>
  </w:style>
  <w:style w:type="character" w:customStyle="1" w:styleId="289">
    <w:name w:val="不明显参考1"/>
    <w:qFormat/>
    <w:uiPriority w:val="31"/>
    <w:rPr>
      <w:smallCaps/>
      <w:color w:val="C0504D"/>
      <w:u w:val="single"/>
    </w:rPr>
  </w:style>
  <w:style w:type="character" w:customStyle="1" w:styleId="290">
    <w:name w:val="书籍标题1"/>
    <w:qFormat/>
    <w:uiPriority w:val="33"/>
    <w:rPr>
      <w:b/>
      <w:bCs/>
      <w:smallCaps/>
      <w:spacing w:val="5"/>
    </w:rPr>
  </w:style>
  <w:style w:type="character" w:customStyle="1" w:styleId="291">
    <w:name w:val="副标题 Char1"/>
    <w:qFormat/>
    <w:uiPriority w:val="11"/>
    <w:rPr>
      <w:rFonts w:ascii="Cambria" w:hAnsi="Cambria" w:eastAsia="宋体" w:cs="Times New Roman"/>
      <w:b/>
      <w:bCs/>
      <w:sz w:val="32"/>
      <w:szCs w:val="32"/>
    </w:rPr>
  </w:style>
  <w:style w:type="character" w:customStyle="1" w:styleId="292">
    <w:name w:val="引用 字符"/>
    <w:link w:val="293"/>
    <w:qFormat/>
    <w:uiPriority w:val="29"/>
    <w:rPr>
      <w:i/>
      <w:iCs/>
      <w:color w:val="000000"/>
      <w:sz w:val="21"/>
      <w:szCs w:val="24"/>
    </w:rPr>
  </w:style>
  <w:style w:type="paragraph" w:customStyle="1" w:styleId="293">
    <w:name w:val="引用1"/>
    <w:basedOn w:val="1"/>
    <w:next w:val="1"/>
    <w:link w:val="292"/>
    <w:qFormat/>
    <w:uiPriority w:val="29"/>
    <w:rPr>
      <w:i/>
      <w:iCs/>
      <w:color w:val="000000"/>
    </w:rPr>
  </w:style>
  <w:style w:type="character" w:customStyle="1" w:styleId="294">
    <w:name w:val="明显参考1"/>
    <w:qFormat/>
    <w:uiPriority w:val="32"/>
    <w:rPr>
      <w:b/>
      <w:bCs/>
      <w:smallCaps/>
      <w:color w:val="C0504D"/>
      <w:spacing w:val="5"/>
      <w:u w:val="single"/>
    </w:rPr>
  </w:style>
  <w:style w:type="character" w:customStyle="1" w:styleId="295">
    <w:name w:val="批注文字 Char"/>
    <w:qFormat/>
    <w:uiPriority w:val="0"/>
    <w:rPr>
      <w:rFonts w:eastAsia="宋体"/>
      <w:sz w:val="21"/>
      <w:szCs w:val="24"/>
      <w:lang w:val="en-US" w:eastAsia="zh-CN" w:bidi="ar-SA"/>
    </w:rPr>
  </w:style>
  <w:style w:type="character" w:customStyle="1" w:styleId="296">
    <w:name w:val="Char Char81"/>
    <w:qFormat/>
    <w:uiPriority w:val="0"/>
    <w:rPr>
      <w:rFonts w:ascii="Arial" w:hAnsi="Arial" w:eastAsia="黑体"/>
      <w:b/>
      <w:bCs/>
      <w:sz w:val="32"/>
      <w:szCs w:val="32"/>
      <w:lang w:val="en-US" w:eastAsia="zh-CN" w:bidi="ar-SA"/>
    </w:rPr>
  </w:style>
  <w:style w:type="character" w:customStyle="1" w:styleId="297">
    <w:name w:val="页脚 Char"/>
    <w:qFormat/>
    <w:uiPriority w:val="99"/>
    <w:rPr>
      <w:sz w:val="18"/>
    </w:rPr>
  </w:style>
  <w:style w:type="character" w:customStyle="1" w:styleId="298">
    <w:name w:val="wyg1"/>
    <w:qFormat/>
    <w:uiPriority w:val="0"/>
    <w:rPr>
      <w:color w:val="000000"/>
      <w:sz w:val="20"/>
      <w:szCs w:val="20"/>
      <w:u w:val="none"/>
    </w:rPr>
  </w:style>
  <w:style w:type="character" w:customStyle="1" w:styleId="299">
    <w:name w:val="styl81"/>
    <w:qFormat/>
    <w:uiPriority w:val="0"/>
    <w:rPr>
      <w:sz w:val="21"/>
      <w:szCs w:val="21"/>
    </w:rPr>
  </w:style>
  <w:style w:type="character" w:customStyle="1" w:styleId="300">
    <w:name w:val="p141"/>
    <w:qFormat/>
    <w:uiPriority w:val="0"/>
    <w:rPr>
      <w:sz w:val="21"/>
      <w:szCs w:val="21"/>
    </w:rPr>
  </w:style>
  <w:style w:type="character" w:customStyle="1" w:styleId="301">
    <w:name w:val="Char Char1"/>
    <w:qFormat/>
    <w:uiPriority w:val="0"/>
    <w:rPr>
      <w:rFonts w:ascii="Arial" w:hAnsi="Arial" w:eastAsia="黑体"/>
      <w:b/>
      <w:bCs/>
      <w:sz w:val="32"/>
      <w:szCs w:val="32"/>
      <w:lang w:val="en-US" w:eastAsia="zh-CN" w:bidi="ar-SA"/>
    </w:rPr>
  </w:style>
  <w:style w:type="character" w:customStyle="1" w:styleId="302">
    <w:name w:val="无间隔 字符"/>
    <w:link w:val="303"/>
    <w:qFormat/>
    <w:uiPriority w:val="1"/>
    <w:rPr>
      <w:sz w:val="21"/>
      <w:szCs w:val="24"/>
      <w:lang w:val="en-US" w:eastAsia="zh-CN" w:bidi="ar-SA"/>
    </w:rPr>
  </w:style>
  <w:style w:type="paragraph" w:customStyle="1" w:styleId="303">
    <w:name w:val="无间隔1"/>
    <w:link w:val="302"/>
    <w:qFormat/>
    <w:uiPriority w:val="1"/>
    <w:pPr>
      <w:widowControl w:val="0"/>
      <w:spacing w:line="440" w:lineRule="exact"/>
      <w:jc w:val="both"/>
    </w:pPr>
    <w:rPr>
      <w:rFonts w:ascii="Times New Roman" w:hAnsi="Times New Roman" w:eastAsia="宋体" w:cs="Times New Roman"/>
      <w:sz w:val="21"/>
      <w:szCs w:val="24"/>
      <w:lang w:val="en-US" w:eastAsia="zh-CN" w:bidi="ar-SA"/>
    </w:rPr>
  </w:style>
  <w:style w:type="character" w:customStyle="1" w:styleId="304">
    <w:name w:val="引用 Char1"/>
    <w:qFormat/>
    <w:uiPriority w:val="29"/>
    <w:rPr>
      <w:i/>
      <w:iCs/>
      <w:color w:val="000000"/>
    </w:rPr>
  </w:style>
  <w:style w:type="character" w:customStyle="1" w:styleId="305">
    <w:name w:val="hover18"/>
    <w:qFormat/>
    <w:uiPriority w:val="0"/>
    <w:rPr>
      <w:b/>
      <w:color w:val="FFB200"/>
      <w:u w:val="single"/>
    </w:rPr>
  </w:style>
  <w:style w:type="character" w:customStyle="1" w:styleId="306">
    <w:name w:val="纯文本 Char1"/>
    <w:qFormat/>
    <w:uiPriority w:val="99"/>
    <w:rPr>
      <w:rFonts w:ascii="宋体" w:hAnsi="Courier New" w:eastAsia="宋体"/>
      <w:sz w:val="24"/>
      <w:szCs w:val="24"/>
      <w:lang w:val="en-US" w:eastAsia="zh-CN" w:bidi="ar-SA"/>
    </w:rPr>
  </w:style>
  <w:style w:type="character" w:customStyle="1" w:styleId="307">
    <w:name w:val="aa1 l01 style8"/>
    <w:qFormat/>
    <w:uiPriority w:val="0"/>
  </w:style>
  <w:style w:type="character" w:customStyle="1" w:styleId="308">
    <w:name w:val="hover19"/>
    <w:qFormat/>
    <w:uiPriority w:val="0"/>
    <w:rPr>
      <w:color w:val="1A85D7"/>
    </w:rPr>
  </w:style>
  <w:style w:type="character" w:customStyle="1" w:styleId="309">
    <w:name w:val="标题 Char1"/>
    <w:qFormat/>
    <w:uiPriority w:val="10"/>
    <w:rPr>
      <w:rFonts w:ascii="Cambria" w:hAnsi="Cambria" w:eastAsia="宋体" w:cs="Times New Roman"/>
      <w:b/>
      <w:bCs/>
      <w:sz w:val="32"/>
      <w:szCs w:val="32"/>
    </w:rPr>
  </w:style>
  <w:style w:type="character" w:customStyle="1" w:styleId="310">
    <w:name w:val="Char Char2"/>
    <w:qFormat/>
    <w:uiPriority w:val="0"/>
    <w:rPr>
      <w:rFonts w:eastAsia="宋体"/>
      <w:sz w:val="21"/>
      <w:szCs w:val="24"/>
      <w:lang w:val="en-US" w:eastAsia="zh-CN" w:bidi="ar-SA"/>
    </w:rPr>
  </w:style>
  <w:style w:type="character" w:customStyle="1" w:styleId="311">
    <w:name w:val="Char Char21"/>
    <w:qFormat/>
    <w:uiPriority w:val="0"/>
    <w:rPr>
      <w:rFonts w:eastAsia="宋体"/>
      <w:sz w:val="21"/>
      <w:szCs w:val="24"/>
      <w:lang w:val="en-US" w:eastAsia="zh-CN" w:bidi="ar-SA"/>
    </w:rPr>
  </w:style>
  <w:style w:type="character" w:customStyle="1" w:styleId="312">
    <w:name w:val="font11"/>
    <w:qFormat/>
    <w:uiPriority w:val="0"/>
    <w:rPr>
      <w:rFonts w:hint="eastAsia" w:ascii="宋体" w:hAnsi="宋体" w:eastAsia="宋体" w:cs="宋体"/>
      <w:color w:val="FF0000"/>
      <w:sz w:val="18"/>
      <w:szCs w:val="18"/>
      <w:u w:val="none"/>
    </w:rPr>
  </w:style>
  <w:style w:type="character" w:customStyle="1" w:styleId="313">
    <w:name w:val="明显引用 字符"/>
    <w:link w:val="314"/>
    <w:qFormat/>
    <w:uiPriority w:val="30"/>
    <w:rPr>
      <w:b/>
      <w:bCs/>
      <w:i/>
      <w:iCs/>
      <w:color w:val="4F81BD"/>
      <w:sz w:val="21"/>
      <w:szCs w:val="24"/>
    </w:rPr>
  </w:style>
  <w:style w:type="paragraph" w:customStyle="1" w:styleId="314">
    <w:name w:val="明显引用1"/>
    <w:basedOn w:val="1"/>
    <w:next w:val="1"/>
    <w:link w:val="313"/>
    <w:qFormat/>
    <w:uiPriority w:val="30"/>
    <w:pPr>
      <w:pBdr>
        <w:bottom w:val="single" w:color="4F81BD" w:sz="4" w:space="4"/>
      </w:pBdr>
      <w:spacing w:before="200" w:after="280"/>
      <w:ind w:left="936" w:right="936"/>
    </w:pPr>
    <w:rPr>
      <w:b/>
      <w:bCs/>
      <w:i/>
      <w:iCs/>
      <w:color w:val="4F81BD"/>
    </w:rPr>
  </w:style>
  <w:style w:type="character" w:customStyle="1" w:styleId="315">
    <w:name w:val="Char Char71"/>
    <w:qFormat/>
    <w:uiPriority w:val="0"/>
    <w:rPr>
      <w:rFonts w:ascii="Arial" w:hAnsi="Arial" w:eastAsia="黑体"/>
      <w:b/>
      <w:bCs/>
      <w:sz w:val="32"/>
      <w:szCs w:val="32"/>
      <w:lang w:val="en-US" w:eastAsia="zh-CN" w:bidi="ar-SA"/>
    </w:rPr>
  </w:style>
  <w:style w:type="paragraph" w:customStyle="1" w:styleId="316">
    <w:name w:val="Char"/>
    <w:basedOn w:val="1"/>
    <w:qFormat/>
    <w:uiPriority w:val="0"/>
    <w:pPr>
      <w:spacing w:line="360" w:lineRule="auto"/>
      <w:ind w:firstLine="200"/>
    </w:pPr>
    <w:rPr>
      <w:rFonts w:ascii="Tahoma" w:hAnsi="Tahoma"/>
      <w:sz w:val="24"/>
      <w:szCs w:val="20"/>
    </w:rPr>
  </w:style>
  <w:style w:type="paragraph" w:customStyle="1" w:styleId="317">
    <w:name w:val="彩色列表 - 着色 11"/>
    <w:basedOn w:val="1"/>
    <w:qFormat/>
    <w:uiPriority w:val="0"/>
    <w:pPr>
      <w:widowControl/>
      <w:spacing w:line="240" w:lineRule="auto"/>
      <w:ind w:firstLine="420"/>
      <w:jc w:val="left"/>
    </w:pPr>
    <w:rPr>
      <w:sz w:val="20"/>
      <w:szCs w:val="20"/>
    </w:rPr>
  </w:style>
  <w:style w:type="paragraph" w:customStyle="1" w:styleId="318">
    <w:name w:val="A."/>
    <w:basedOn w:val="1"/>
    <w:qFormat/>
    <w:uiPriority w:val="0"/>
    <w:pPr>
      <w:widowControl/>
      <w:tabs>
        <w:tab w:val="left" w:pos="454"/>
      </w:tabs>
      <w:spacing w:line="264" w:lineRule="auto"/>
      <w:ind w:left="454" w:hanging="454"/>
    </w:pPr>
    <w:rPr>
      <w:rFonts w:ascii="Calibri" w:hAnsi="Calibri"/>
      <w:sz w:val="24"/>
    </w:rPr>
  </w:style>
  <w:style w:type="paragraph" w:customStyle="1" w:styleId="319">
    <w:name w:val="1"/>
    <w:basedOn w:val="1"/>
    <w:next w:val="1"/>
    <w:qFormat/>
    <w:uiPriority w:val="0"/>
  </w:style>
  <w:style w:type="paragraph" w:customStyle="1" w:styleId="320">
    <w:name w:val="font5"/>
    <w:basedOn w:val="1"/>
    <w:qFormat/>
    <w:uiPriority w:val="0"/>
    <w:pPr>
      <w:widowControl/>
      <w:spacing w:before="100" w:beforeAutospacing="1" w:after="100" w:afterAutospacing="1" w:line="240" w:lineRule="auto"/>
      <w:jc w:val="left"/>
    </w:pPr>
    <w:rPr>
      <w:rFonts w:hint="eastAsia" w:ascii="宋体" w:hAnsi="宋体"/>
      <w:sz w:val="18"/>
      <w:szCs w:val="20"/>
    </w:rPr>
  </w:style>
  <w:style w:type="paragraph" w:customStyle="1" w:styleId="321">
    <w:name w:val="text"/>
    <w:basedOn w:val="1"/>
    <w:qFormat/>
    <w:uiPriority w:val="0"/>
    <w:pPr>
      <w:widowControl/>
      <w:tabs>
        <w:tab w:val="left" w:pos="1050"/>
      </w:tabs>
      <w:spacing w:before="240"/>
      <w:ind w:left="1049"/>
    </w:pPr>
    <w:rPr>
      <w:rFonts w:ascii="Calibri" w:hAnsi="Calibri"/>
      <w:sz w:val="24"/>
    </w:rPr>
  </w:style>
  <w:style w:type="paragraph" w:customStyle="1" w:styleId="322">
    <w:name w:val="江建权"/>
    <w:basedOn w:val="1"/>
    <w:qFormat/>
    <w:uiPriority w:val="0"/>
    <w:pPr>
      <w:ind w:firstLine="200"/>
    </w:pPr>
    <w:rPr>
      <w:rFonts w:ascii="Calibri" w:hAnsi="Calibri"/>
      <w:sz w:val="24"/>
    </w:rPr>
  </w:style>
  <w:style w:type="paragraph" w:customStyle="1" w:styleId="323">
    <w:name w:val="正文文本缩进1"/>
    <w:basedOn w:val="1"/>
    <w:qFormat/>
    <w:uiPriority w:val="0"/>
    <w:pPr>
      <w:spacing w:line="360" w:lineRule="auto"/>
      <w:ind w:firstLine="420"/>
    </w:pPr>
    <w:rPr>
      <w:rFonts w:ascii="宋体"/>
      <w:sz w:val="24"/>
    </w:rPr>
  </w:style>
  <w:style w:type="paragraph" w:customStyle="1" w:styleId="324">
    <w:name w:val="xl35"/>
    <w:basedOn w:val="1"/>
    <w:qFormat/>
    <w:uiPriority w:val="0"/>
    <w:pPr>
      <w:widowControl/>
      <w:spacing w:before="100" w:beforeAutospacing="1" w:after="100" w:afterAutospacing="1" w:line="240" w:lineRule="auto"/>
      <w:jc w:val="right"/>
    </w:pPr>
    <w:rPr>
      <w:rFonts w:ascii="宋体" w:hAnsi="宋体"/>
      <w:sz w:val="18"/>
      <w:szCs w:val="20"/>
    </w:rPr>
  </w:style>
  <w:style w:type="paragraph" w:customStyle="1" w:styleId="325">
    <w:name w:val="三级目录"/>
    <w:next w:val="1"/>
    <w:qFormat/>
    <w:uiPriority w:val="0"/>
    <w:pPr>
      <w:ind w:firstLine="420"/>
    </w:pPr>
    <w:rPr>
      <w:rFonts w:ascii="Times New Roman" w:hAnsi="Times New Roman" w:eastAsia="宋体" w:cs="Calibri"/>
      <w:b/>
      <w:bCs/>
      <w:sz w:val="24"/>
      <w:szCs w:val="24"/>
      <w:lang w:val="en-US" w:eastAsia="zh-CN" w:bidi="ar-SA"/>
    </w:rPr>
  </w:style>
  <w:style w:type="paragraph" w:customStyle="1" w:styleId="326">
    <w:name w:val="表格"/>
    <w:basedOn w:val="1"/>
    <w:qFormat/>
    <w:uiPriority w:val="0"/>
    <w:pPr>
      <w:jc w:val="center"/>
    </w:pPr>
    <w:rPr>
      <w:rFonts w:ascii="华文细黑" w:hAnsi="华文细黑"/>
    </w:rPr>
  </w:style>
  <w:style w:type="paragraph" w:customStyle="1" w:styleId="327">
    <w:name w:val="xl32"/>
    <w:basedOn w:val="1"/>
    <w:qFormat/>
    <w:uiPriority w:val="0"/>
    <w:pPr>
      <w:widowControl/>
      <w:pBdr>
        <w:top w:val="single" w:color="000000" w:sz="4" w:space="0"/>
        <w:left w:val="single" w:color="000000" w:sz="4" w:space="0"/>
        <w:right w:val="single" w:color="000000" w:sz="4" w:space="0"/>
      </w:pBdr>
      <w:spacing w:before="100" w:beforeAutospacing="1" w:after="100" w:afterAutospacing="1" w:line="240" w:lineRule="auto"/>
      <w:jc w:val="center"/>
    </w:pPr>
    <w:rPr>
      <w:rFonts w:ascii="宋体" w:hAnsi="宋体"/>
      <w:sz w:val="20"/>
      <w:szCs w:val="20"/>
    </w:rPr>
  </w:style>
  <w:style w:type="paragraph" w:customStyle="1" w:styleId="328">
    <w:name w:val="表格正文"/>
    <w:basedOn w:val="1"/>
    <w:qFormat/>
    <w:uiPriority w:val="0"/>
    <w:pPr>
      <w:spacing w:line="300" w:lineRule="auto"/>
      <w:ind w:left="142"/>
      <w:jc w:val="left"/>
    </w:pPr>
    <w:rPr>
      <w:rFonts w:ascii="Calibri" w:hAnsi="Calibri"/>
      <w:sz w:val="24"/>
      <w:szCs w:val="22"/>
    </w:rPr>
  </w:style>
  <w:style w:type="paragraph" w:customStyle="1" w:styleId="329">
    <w:name w:val="样式 标题 2 + Times New Roman 四号 非加粗 段前: 5 磅 段后: 0 磅 行距: 固定值 20..."/>
    <w:basedOn w:val="187"/>
    <w:qFormat/>
    <w:uiPriority w:val="0"/>
    <w:pPr>
      <w:spacing w:before="100" w:after="0" w:line="400" w:lineRule="exact"/>
    </w:pPr>
    <w:rPr>
      <w:rFonts w:ascii="Times New Roman" w:hAnsi="Times New Roman" w:cs="宋体"/>
      <w:b w:val="0"/>
      <w:bCs w:val="0"/>
      <w:sz w:val="28"/>
      <w:szCs w:val="20"/>
    </w:rPr>
  </w:style>
  <w:style w:type="paragraph" w:customStyle="1" w:styleId="330">
    <w:name w:val="xl34"/>
    <w:basedOn w:val="1"/>
    <w:qFormat/>
    <w:uiPriority w:val="0"/>
    <w:pPr>
      <w:widowControl/>
      <w:pBdr>
        <w:left w:val="single" w:color="000000" w:sz="4" w:space="0"/>
        <w:right w:val="single" w:color="000000" w:sz="4" w:space="0"/>
      </w:pBdr>
      <w:spacing w:before="100" w:beforeAutospacing="1" w:after="100" w:afterAutospacing="1" w:line="240" w:lineRule="auto"/>
      <w:jc w:val="center"/>
    </w:pPr>
    <w:rPr>
      <w:rFonts w:ascii="宋体" w:hAnsi="宋体"/>
      <w:sz w:val="20"/>
      <w:szCs w:val="20"/>
    </w:rPr>
  </w:style>
  <w:style w:type="paragraph" w:customStyle="1" w:styleId="331">
    <w:name w:val="Char Char2 Char Char"/>
    <w:basedOn w:val="209"/>
    <w:unhideWhenUsed/>
    <w:qFormat/>
    <w:uiPriority w:val="99"/>
    <w:rPr>
      <w:rFonts w:hint="eastAsia" w:ascii="Tahoma" w:hAnsi="Tahoma"/>
      <w:sz w:val="24"/>
    </w:rPr>
  </w:style>
  <w:style w:type="paragraph" w:customStyle="1" w:styleId="332">
    <w:name w:val="Char Char Char Char Char Char Char Char Char1 Char"/>
    <w:basedOn w:val="209"/>
    <w:qFormat/>
    <w:uiPriority w:val="0"/>
    <w:pPr>
      <w:spacing w:line="360" w:lineRule="auto"/>
    </w:pPr>
    <w:rPr>
      <w:rFonts w:ascii="Tahoma" w:hAnsi="Tahoma"/>
      <w:sz w:val="24"/>
    </w:rPr>
  </w:style>
  <w:style w:type="paragraph" w:customStyle="1" w:styleId="333">
    <w:name w:val="列出段落1"/>
    <w:basedOn w:val="1"/>
    <w:qFormat/>
    <w:uiPriority w:val="0"/>
    <w:pPr>
      <w:ind w:firstLine="420"/>
    </w:pPr>
    <w:rPr>
      <w:rFonts w:ascii="Calibri" w:hAnsi="Calibri"/>
      <w:szCs w:val="22"/>
    </w:rPr>
  </w:style>
  <w:style w:type="paragraph" w:customStyle="1" w:styleId="334">
    <w:name w:val="font10"/>
    <w:basedOn w:val="1"/>
    <w:qFormat/>
    <w:uiPriority w:val="0"/>
    <w:pPr>
      <w:widowControl/>
      <w:spacing w:before="100" w:beforeAutospacing="1" w:after="100" w:afterAutospacing="1" w:line="240" w:lineRule="auto"/>
      <w:jc w:val="left"/>
    </w:pPr>
    <w:rPr>
      <w:b/>
      <w:bCs/>
      <w:sz w:val="20"/>
      <w:szCs w:val="20"/>
    </w:rPr>
  </w:style>
  <w:style w:type="paragraph" w:customStyle="1" w:styleId="335">
    <w:name w:val="xl29"/>
    <w:basedOn w:val="1"/>
    <w:qFormat/>
    <w:uiPriority w:val="0"/>
    <w:pPr>
      <w:widowControl/>
      <w:pBdr>
        <w:top w:val="single" w:color="000000" w:sz="4" w:space="0"/>
      </w:pBdr>
      <w:spacing w:before="100" w:beforeAutospacing="1" w:after="100" w:afterAutospacing="1" w:line="240" w:lineRule="auto"/>
      <w:jc w:val="left"/>
    </w:pPr>
    <w:rPr>
      <w:rFonts w:ascii="宋体" w:hAnsi="宋体"/>
      <w:sz w:val="20"/>
      <w:szCs w:val="20"/>
    </w:rPr>
  </w:style>
  <w:style w:type="paragraph" w:customStyle="1" w:styleId="336">
    <w:name w:val="Personal Name"/>
    <w:basedOn w:val="251"/>
    <w:qFormat/>
    <w:uiPriority w:val="0"/>
    <w:rPr>
      <w:rFonts w:ascii="Impact" w:hAnsi="Impact"/>
      <w:b w:val="0"/>
      <w:caps/>
      <w:color w:val="000000"/>
      <w:sz w:val="28"/>
      <w:szCs w:val="28"/>
    </w:rPr>
  </w:style>
  <w:style w:type="paragraph" w:customStyle="1" w:styleId="337">
    <w:name w:val="+正文"/>
    <w:basedOn w:val="1"/>
    <w:qFormat/>
    <w:uiPriority w:val="0"/>
    <w:pPr>
      <w:spacing w:line="360" w:lineRule="auto"/>
      <w:ind w:firstLine="200"/>
    </w:pPr>
    <w:rPr>
      <w:sz w:val="24"/>
      <w:szCs w:val="28"/>
    </w:rPr>
  </w:style>
  <w:style w:type="paragraph" w:customStyle="1" w:styleId="338">
    <w:name w:val="TOC 标题2"/>
    <w:basedOn w:val="186"/>
    <w:next w:val="1"/>
    <w:qFormat/>
    <w:uiPriority w:val="39"/>
    <w:pPr>
      <w:spacing w:line="578" w:lineRule="auto"/>
      <w:outlineLvl w:val="9"/>
    </w:pPr>
  </w:style>
  <w:style w:type="paragraph" w:customStyle="1" w:styleId="339">
    <w:name w:val="Char Char Char Char"/>
    <w:basedOn w:val="209"/>
    <w:qFormat/>
    <w:uiPriority w:val="0"/>
    <w:pPr>
      <w:spacing w:line="360" w:lineRule="auto"/>
    </w:pPr>
    <w:rPr>
      <w:rFonts w:ascii="Tahoma" w:hAnsi="Tahoma"/>
      <w:sz w:val="24"/>
    </w:rPr>
  </w:style>
  <w:style w:type="paragraph" w:customStyle="1" w:styleId="340">
    <w:name w:val="Char Char Char Char Char Char"/>
    <w:basedOn w:val="209"/>
    <w:qFormat/>
    <w:uiPriority w:val="0"/>
    <w:pPr>
      <w:spacing w:line="360" w:lineRule="auto"/>
    </w:pPr>
    <w:rPr>
      <w:rFonts w:ascii="Tahoma" w:hAnsi="Tahoma"/>
      <w:sz w:val="24"/>
      <w:szCs w:val="20"/>
    </w:rPr>
  </w:style>
  <w:style w:type="paragraph" w:customStyle="1" w:styleId="341">
    <w:name w:val="文章总标题"/>
    <w:basedOn w:val="1"/>
    <w:next w:val="1"/>
    <w:qFormat/>
    <w:uiPriority w:val="0"/>
    <w:pPr>
      <w:widowControl/>
      <w:spacing w:before="566" w:after="544" w:line="566" w:lineRule="atLeast"/>
      <w:jc w:val="center"/>
    </w:pPr>
    <w:rPr>
      <w:rFonts w:ascii="Arial" w:eastAsia="黑体"/>
      <w:color w:val="000000"/>
      <w:sz w:val="54"/>
      <w:szCs w:val="20"/>
    </w:rPr>
  </w:style>
  <w:style w:type="paragraph" w:customStyle="1" w:styleId="342">
    <w:name w:val="纯文本1"/>
    <w:basedOn w:val="1"/>
    <w:qFormat/>
    <w:uiPriority w:val="0"/>
    <w:rPr>
      <w:rFonts w:ascii="宋体" w:hAnsi="Courier New" w:eastAsia="楷体_GB2312"/>
      <w:sz w:val="26"/>
    </w:rPr>
  </w:style>
  <w:style w:type="paragraph" w:customStyle="1" w:styleId="343">
    <w:name w:val="font8"/>
    <w:basedOn w:val="1"/>
    <w:qFormat/>
    <w:uiPriority w:val="0"/>
    <w:pPr>
      <w:widowControl/>
      <w:spacing w:before="100" w:beforeAutospacing="1" w:after="100" w:afterAutospacing="1" w:line="240" w:lineRule="auto"/>
      <w:jc w:val="left"/>
    </w:pPr>
    <w:rPr>
      <w:rFonts w:hint="eastAsia" w:ascii="宋体" w:hAnsi="宋体"/>
      <w:b/>
      <w:bCs/>
      <w:sz w:val="20"/>
      <w:szCs w:val="20"/>
    </w:rPr>
  </w:style>
  <w:style w:type="paragraph" w:customStyle="1" w:styleId="344">
    <w:name w:val="xl27"/>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line="240" w:lineRule="auto"/>
      <w:jc w:val="center"/>
    </w:pPr>
    <w:rPr>
      <w:sz w:val="20"/>
      <w:szCs w:val="20"/>
    </w:rPr>
  </w:style>
  <w:style w:type="paragraph" w:customStyle="1" w:styleId="345">
    <w:name w:val="_Style 2"/>
    <w:basedOn w:val="1"/>
    <w:qFormat/>
    <w:uiPriority w:val="34"/>
    <w:pPr>
      <w:widowControl/>
      <w:spacing w:line="240" w:lineRule="auto"/>
      <w:ind w:firstLine="420"/>
      <w:jc w:val="left"/>
    </w:pPr>
    <w:rPr>
      <w:sz w:val="24"/>
      <w:szCs w:val="20"/>
    </w:rPr>
  </w:style>
  <w:style w:type="paragraph" w:customStyle="1" w:styleId="346">
    <w:name w:val="正文 A"/>
    <w:next w:val="347"/>
    <w:qFormat/>
    <w:uiPriority w:val="0"/>
    <w:pPr>
      <w:widowControl w:val="0"/>
      <w:jc w:val="both"/>
    </w:pPr>
    <w:rPr>
      <w:rFonts w:ascii="Calibri" w:hAnsi="Calibri" w:eastAsia="Calibri" w:cs="Calibri"/>
      <w:color w:val="000000"/>
      <w:sz w:val="21"/>
      <w:szCs w:val="21"/>
      <w:lang w:val="en-US" w:eastAsia="zh-CN" w:bidi="ar-SA"/>
    </w:rPr>
  </w:style>
  <w:style w:type="paragraph" w:customStyle="1" w:styleId="347">
    <w:name w:val="段"/>
    <w:next w:val="346"/>
    <w:qFormat/>
    <w:uiPriority w:val="0"/>
    <w:pPr>
      <w:widowControl w:val="0"/>
      <w:ind w:firstLine="200"/>
      <w:jc w:val="both"/>
    </w:pPr>
    <w:rPr>
      <w:rFonts w:ascii="宋体" w:hAnsi="宋体" w:eastAsia="宋体" w:cs="宋体"/>
      <w:color w:val="000000"/>
      <w:sz w:val="21"/>
      <w:szCs w:val="21"/>
      <w:lang w:val="en-US" w:eastAsia="zh-CN" w:bidi="ar-SA"/>
    </w:rPr>
  </w:style>
  <w:style w:type="paragraph" w:customStyle="1" w:styleId="348">
    <w:name w:val="样式 标题 3 + (中文) 黑体 小四 非加粗 段前: 7.8 磅 段后: 0 磅 行距: 固定值 20 磅"/>
    <w:basedOn w:val="188"/>
    <w:qFormat/>
    <w:uiPriority w:val="0"/>
    <w:pPr>
      <w:spacing w:before="0" w:after="0" w:line="400" w:lineRule="exact"/>
    </w:pPr>
    <w:rPr>
      <w:rFonts w:cs="宋体"/>
      <w:b/>
      <w:bCs/>
    </w:rPr>
  </w:style>
  <w:style w:type="paragraph" w:customStyle="1" w:styleId="349">
    <w:name w:val="列出段落2"/>
    <w:basedOn w:val="1"/>
    <w:qFormat/>
    <w:uiPriority w:val="0"/>
    <w:pPr>
      <w:spacing w:line="240" w:lineRule="auto"/>
      <w:ind w:firstLine="420"/>
    </w:pPr>
    <w:rPr>
      <w:rFonts w:ascii="Calibri" w:hAnsi="Calibri"/>
      <w:szCs w:val="22"/>
    </w:rPr>
  </w:style>
  <w:style w:type="paragraph" w:customStyle="1" w:styleId="350">
    <w:name w:val="图"/>
    <w:basedOn w:val="1"/>
    <w:qFormat/>
    <w:uiPriority w:val="0"/>
    <w:pPr>
      <w:keepNext/>
      <w:spacing w:before="60" w:after="60" w:line="300" w:lineRule="auto"/>
      <w:jc w:val="center"/>
    </w:pPr>
    <w:rPr>
      <w:spacing w:val="20"/>
      <w:sz w:val="24"/>
      <w:szCs w:val="20"/>
    </w:rPr>
  </w:style>
  <w:style w:type="paragraph" w:customStyle="1" w:styleId="351">
    <w:name w:val="xl26"/>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line="240" w:lineRule="auto"/>
      <w:jc w:val="center"/>
    </w:pPr>
    <w:rPr>
      <w:rFonts w:ascii="宋体" w:hAnsi="宋体"/>
      <w:sz w:val="20"/>
      <w:szCs w:val="20"/>
    </w:rPr>
  </w:style>
  <w:style w:type="paragraph" w:customStyle="1" w:styleId="352">
    <w:name w:val="Char11"/>
    <w:basedOn w:val="1"/>
    <w:qFormat/>
    <w:uiPriority w:val="0"/>
    <w:pPr>
      <w:tabs>
        <w:tab w:val="left" w:pos="360"/>
      </w:tabs>
    </w:pPr>
    <w:rPr>
      <w:sz w:val="24"/>
    </w:rPr>
  </w:style>
  <w:style w:type="paragraph" w:customStyle="1" w:styleId="353">
    <w:name w:val="默认段落字体 Para Char Char Char Char Char Char Char Char Char1 Char Char Char Char Char Char Char"/>
    <w:basedOn w:val="209"/>
    <w:qFormat/>
    <w:uiPriority w:val="0"/>
    <w:rPr>
      <w:rFonts w:ascii="Tahoma" w:hAnsi="Tahoma"/>
      <w:sz w:val="24"/>
    </w:rPr>
  </w:style>
  <w:style w:type="paragraph" w:customStyle="1" w:styleId="354">
    <w:name w:val="xl33"/>
    <w:basedOn w:val="1"/>
    <w:qFormat/>
    <w:uiPriority w:val="0"/>
    <w:pPr>
      <w:widowControl/>
      <w:pBdr>
        <w:left w:val="single" w:color="000000" w:sz="4" w:space="0"/>
        <w:bottom w:val="single" w:color="000000" w:sz="4" w:space="0"/>
        <w:right w:val="single" w:color="000000" w:sz="4" w:space="0"/>
      </w:pBdr>
      <w:spacing w:before="100" w:beforeAutospacing="1" w:after="100" w:afterAutospacing="1" w:line="240" w:lineRule="auto"/>
      <w:jc w:val="center"/>
    </w:pPr>
    <w:rPr>
      <w:rFonts w:ascii="宋体" w:hAnsi="宋体"/>
      <w:sz w:val="20"/>
      <w:szCs w:val="20"/>
    </w:rPr>
  </w:style>
  <w:style w:type="paragraph" w:customStyle="1" w:styleId="355">
    <w:name w:val="+▲"/>
    <w:basedOn w:val="337"/>
    <w:qFormat/>
    <w:uiPriority w:val="0"/>
    <w:pPr>
      <w:numPr>
        <w:ilvl w:val="0"/>
        <w:numId w:val="1"/>
      </w:numPr>
      <w:tabs>
        <w:tab w:val="left" w:pos="900"/>
      </w:tabs>
      <w:ind w:firstLine="0"/>
    </w:pPr>
    <w:rPr>
      <w:rFonts w:ascii="Calibri" w:hAnsi="Calibri"/>
      <w:sz w:val="28"/>
    </w:rPr>
  </w:style>
  <w:style w:type="paragraph" w:customStyle="1" w:styleId="356">
    <w:name w:val="样式4"/>
    <w:basedOn w:val="188"/>
    <w:qFormat/>
    <w:uiPriority w:val="0"/>
    <w:rPr>
      <w:rFonts w:eastAsia="Arial"/>
    </w:rPr>
  </w:style>
  <w:style w:type="paragraph" w:customStyle="1" w:styleId="357">
    <w:name w:val="Char Char Char1 Char Char Char Char"/>
    <w:basedOn w:val="1"/>
    <w:qFormat/>
    <w:uiPriority w:val="0"/>
    <w:pPr>
      <w:widowControl/>
      <w:spacing w:after="160" w:line="240" w:lineRule="exact"/>
      <w:jc w:val="left"/>
    </w:pPr>
    <w:rPr>
      <w:sz w:val="24"/>
      <w:szCs w:val="20"/>
    </w:rPr>
  </w:style>
  <w:style w:type="paragraph" w:customStyle="1" w:styleId="358">
    <w:name w:val="表格文字"/>
    <w:basedOn w:val="1"/>
    <w:qFormat/>
    <w:uiPriority w:val="0"/>
    <w:pPr>
      <w:spacing w:line="420" w:lineRule="atLeast"/>
      <w:jc w:val="left"/>
    </w:pPr>
  </w:style>
  <w:style w:type="paragraph" w:customStyle="1" w:styleId="359">
    <w:name w:val="font6"/>
    <w:basedOn w:val="1"/>
    <w:qFormat/>
    <w:uiPriority w:val="0"/>
    <w:pPr>
      <w:widowControl/>
      <w:spacing w:before="100" w:beforeAutospacing="1" w:after="100" w:afterAutospacing="1" w:line="240" w:lineRule="auto"/>
      <w:jc w:val="left"/>
    </w:pPr>
    <w:rPr>
      <w:rFonts w:hint="eastAsia" w:ascii="宋体" w:hAnsi="宋体"/>
      <w:sz w:val="20"/>
      <w:szCs w:val="20"/>
    </w:rPr>
  </w:style>
  <w:style w:type="paragraph" w:customStyle="1" w:styleId="360">
    <w:name w:val="样式2"/>
    <w:basedOn w:val="188"/>
    <w:qFormat/>
    <w:uiPriority w:val="0"/>
  </w:style>
  <w:style w:type="paragraph" w:customStyle="1" w:styleId="361">
    <w:name w:val="列出段落3"/>
    <w:basedOn w:val="1"/>
    <w:link w:val="362"/>
    <w:qFormat/>
    <w:uiPriority w:val="99"/>
    <w:pPr>
      <w:ind w:firstLine="420"/>
    </w:pPr>
  </w:style>
  <w:style w:type="character" w:customStyle="1" w:styleId="362">
    <w:name w:val="列出段落 字符"/>
    <w:link w:val="361"/>
    <w:qFormat/>
    <w:uiPriority w:val="99"/>
    <w:rPr>
      <w:sz w:val="21"/>
      <w:szCs w:val="24"/>
    </w:rPr>
  </w:style>
  <w:style w:type="paragraph" w:customStyle="1" w:styleId="363">
    <w:name w:val="样式 标题 1 + 黑体 三号 非加粗 居中 段前: 6 磅 段后: 6 磅 行距: 固定值 20 磅"/>
    <w:basedOn w:val="186"/>
    <w:qFormat/>
    <w:uiPriority w:val="0"/>
    <w:pPr>
      <w:spacing w:before="120" w:after="120" w:line="400" w:lineRule="exact"/>
    </w:pPr>
    <w:rPr>
      <w:rFonts w:ascii="黑体" w:hAnsi="黑体" w:eastAsia="黑体" w:cs="宋体"/>
      <w:b w:val="0"/>
      <w:bCs w:val="0"/>
      <w:sz w:val="32"/>
      <w:szCs w:val="20"/>
    </w:rPr>
  </w:style>
  <w:style w:type="paragraph" w:customStyle="1" w:styleId="364">
    <w:name w:val="6'"/>
    <w:basedOn w:val="1"/>
    <w:qFormat/>
    <w:uiPriority w:val="0"/>
    <w:pPr>
      <w:spacing w:line="320" w:lineRule="exact"/>
      <w:jc w:val="center"/>
    </w:pPr>
    <w:rPr>
      <w:spacing w:val="20"/>
    </w:rPr>
  </w:style>
  <w:style w:type="paragraph" w:customStyle="1" w:styleId="365">
    <w:name w:val="Char Char Char Char Char Char Char"/>
    <w:basedOn w:val="1"/>
    <w:qFormat/>
    <w:uiPriority w:val="0"/>
    <w:pPr>
      <w:tabs>
        <w:tab w:val="left" w:pos="840"/>
        <w:tab w:val="left" w:pos="980"/>
      </w:tabs>
      <w:spacing w:line="240" w:lineRule="auto"/>
      <w:ind w:left="980" w:hanging="420"/>
    </w:pPr>
  </w:style>
  <w:style w:type="paragraph" w:customStyle="1" w:styleId="366">
    <w:name w:val="Char Char Char Char Char Char Char1"/>
    <w:basedOn w:val="1"/>
    <w:qFormat/>
    <w:uiPriority w:val="0"/>
    <w:pPr>
      <w:tabs>
        <w:tab w:val="left" w:pos="840"/>
        <w:tab w:val="left" w:pos="980"/>
      </w:tabs>
      <w:spacing w:line="240" w:lineRule="auto"/>
      <w:ind w:left="980" w:hanging="420"/>
    </w:pPr>
  </w:style>
  <w:style w:type="paragraph" w:customStyle="1" w:styleId="367">
    <w:name w:val="xl22"/>
    <w:basedOn w:val="1"/>
    <w:qFormat/>
    <w:uiPriority w:val="0"/>
    <w:pPr>
      <w:widowControl/>
      <w:spacing w:before="100" w:beforeAutospacing="1" w:after="100" w:afterAutospacing="1" w:line="240" w:lineRule="auto"/>
      <w:jc w:val="center"/>
    </w:pPr>
    <w:rPr>
      <w:rFonts w:ascii="宋体" w:hAnsi="宋体"/>
      <w:sz w:val="20"/>
      <w:szCs w:val="20"/>
    </w:rPr>
  </w:style>
  <w:style w:type="paragraph" w:customStyle="1" w:styleId="368">
    <w:name w:val="xl23"/>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line="240" w:lineRule="auto"/>
      <w:jc w:val="center"/>
    </w:pPr>
    <w:rPr>
      <w:rFonts w:ascii="宋体" w:hAnsi="宋体"/>
      <w:sz w:val="20"/>
      <w:szCs w:val="20"/>
    </w:rPr>
  </w:style>
  <w:style w:type="paragraph" w:customStyle="1" w:styleId="369">
    <w:name w:val="p0"/>
    <w:basedOn w:val="1"/>
    <w:qFormat/>
    <w:uiPriority w:val="0"/>
    <w:pPr>
      <w:widowControl/>
      <w:spacing w:line="240" w:lineRule="auto"/>
    </w:pPr>
    <w:rPr>
      <w:szCs w:val="21"/>
    </w:rPr>
  </w:style>
  <w:style w:type="paragraph" w:customStyle="1" w:styleId="370">
    <w:name w:val="H-TextFormat"/>
    <w:qFormat/>
    <w:uiPriority w:val="0"/>
    <w:rPr>
      <w:rFonts w:ascii="Arial" w:hAnsi="Arial" w:eastAsia="宋体" w:cs="Times New Roman"/>
      <w:sz w:val="22"/>
      <w:lang w:val="en-GB" w:eastAsia="en-US" w:bidi="ar-SA"/>
    </w:rPr>
  </w:style>
  <w:style w:type="paragraph" w:customStyle="1" w:styleId="371">
    <w:name w:val="默认段落字体 Para Char Char Char Char Char Char Char Char Char1 Char Char Char Char"/>
    <w:basedOn w:val="1"/>
    <w:qFormat/>
    <w:uiPriority w:val="0"/>
    <w:pPr>
      <w:spacing w:line="240" w:lineRule="auto"/>
    </w:pPr>
    <w:rPr>
      <w:rFonts w:ascii="Tahoma" w:hAnsi="Tahoma"/>
      <w:sz w:val="24"/>
      <w:szCs w:val="20"/>
    </w:rPr>
  </w:style>
  <w:style w:type="paragraph" w:customStyle="1" w:styleId="372">
    <w:name w:val="xl25"/>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line="240" w:lineRule="auto"/>
      <w:jc w:val="left"/>
    </w:pPr>
    <w:rPr>
      <w:rFonts w:ascii="宋体" w:hAnsi="宋体"/>
      <w:sz w:val="20"/>
      <w:szCs w:val="20"/>
    </w:rPr>
  </w:style>
  <w:style w:type="paragraph" w:customStyle="1" w:styleId="373">
    <w:name w:val="样式1"/>
    <w:basedOn w:val="188"/>
    <w:qFormat/>
    <w:uiPriority w:val="0"/>
    <w:rPr>
      <w:rFonts w:eastAsia="Arial"/>
    </w:rPr>
  </w:style>
  <w:style w:type="paragraph" w:customStyle="1" w:styleId="374">
    <w:name w:val="msonormalcxspmiddle"/>
    <w:basedOn w:val="1"/>
    <w:qFormat/>
    <w:uiPriority w:val="0"/>
    <w:pPr>
      <w:widowControl/>
      <w:spacing w:before="100" w:beforeAutospacing="1" w:after="100" w:afterAutospacing="1" w:line="240" w:lineRule="auto"/>
      <w:jc w:val="left"/>
    </w:pPr>
    <w:rPr>
      <w:rFonts w:ascii="宋体" w:hAnsi="宋体" w:cs="宋体"/>
      <w:sz w:val="24"/>
    </w:rPr>
  </w:style>
  <w:style w:type="paragraph" w:customStyle="1" w:styleId="375">
    <w:name w:val="Char1"/>
    <w:basedOn w:val="1"/>
    <w:qFormat/>
    <w:uiPriority w:val="0"/>
    <w:pPr>
      <w:tabs>
        <w:tab w:val="left" w:pos="360"/>
        <w:tab w:val="left" w:pos="980"/>
      </w:tabs>
      <w:spacing w:line="240" w:lineRule="auto"/>
      <w:ind w:left="980" w:hanging="420"/>
    </w:pPr>
    <w:rPr>
      <w:sz w:val="24"/>
      <w:szCs w:val="20"/>
    </w:rPr>
  </w:style>
  <w:style w:type="paragraph" w:customStyle="1" w:styleId="376">
    <w:name w:val="Char12"/>
    <w:basedOn w:val="1"/>
    <w:qFormat/>
    <w:uiPriority w:val="0"/>
    <w:pPr>
      <w:tabs>
        <w:tab w:val="left" w:pos="360"/>
        <w:tab w:val="left" w:pos="980"/>
      </w:tabs>
      <w:spacing w:line="240" w:lineRule="auto"/>
      <w:ind w:left="980" w:hanging="420"/>
    </w:pPr>
    <w:rPr>
      <w:sz w:val="24"/>
      <w:szCs w:val="20"/>
    </w:rPr>
  </w:style>
  <w:style w:type="paragraph" w:customStyle="1" w:styleId="377">
    <w:name w:val="Char Char Char1 Char Char Char Char1"/>
    <w:basedOn w:val="1"/>
    <w:qFormat/>
    <w:uiPriority w:val="0"/>
    <w:pPr>
      <w:widowControl/>
      <w:spacing w:after="160" w:line="240" w:lineRule="exact"/>
      <w:jc w:val="left"/>
    </w:pPr>
    <w:rPr>
      <w:sz w:val="24"/>
      <w:szCs w:val="20"/>
    </w:rPr>
  </w:style>
  <w:style w:type="paragraph" w:customStyle="1" w:styleId="378">
    <w:name w:val="样式3"/>
    <w:basedOn w:val="188"/>
    <w:qFormat/>
    <w:uiPriority w:val="0"/>
    <w:rPr>
      <w:rFonts w:eastAsia="Arial"/>
    </w:rPr>
  </w:style>
  <w:style w:type="paragraph" w:customStyle="1" w:styleId="379">
    <w:name w:val="默认段落字体 Para Char Char Char Char"/>
    <w:basedOn w:val="1"/>
    <w:qFormat/>
    <w:uiPriority w:val="0"/>
  </w:style>
  <w:style w:type="paragraph" w:customStyle="1" w:styleId="380">
    <w:name w:val="样式 标题 2 + 黑色 行距: 1.5 倍行距"/>
    <w:basedOn w:val="187"/>
    <w:qFormat/>
    <w:uiPriority w:val="0"/>
    <w:pPr>
      <w:spacing w:line="360" w:lineRule="auto"/>
      <w:jc w:val="center"/>
    </w:pPr>
    <w:rPr>
      <w:rFonts w:eastAsia="宋体" w:cs="宋体"/>
      <w:color w:val="000000"/>
    </w:rPr>
  </w:style>
  <w:style w:type="paragraph" w:customStyle="1" w:styleId="381">
    <w:name w:val="xl36"/>
    <w:basedOn w:val="1"/>
    <w:qFormat/>
    <w:uiPriority w:val="0"/>
    <w:pPr>
      <w:widowControl/>
      <w:pBdr>
        <w:left w:val="single" w:color="000000" w:sz="4" w:space="0"/>
        <w:right w:val="single" w:color="000000" w:sz="4" w:space="0"/>
      </w:pBdr>
      <w:spacing w:before="100" w:beforeAutospacing="1" w:after="100" w:afterAutospacing="1" w:line="240" w:lineRule="auto"/>
      <w:jc w:val="center"/>
    </w:pPr>
    <w:rPr>
      <w:rFonts w:ascii="宋体" w:hAnsi="宋体"/>
      <w:sz w:val="20"/>
      <w:szCs w:val="20"/>
    </w:rPr>
  </w:style>
  <w:style w:type="paragraph" w:customStyle="1" w:styleId="382">
    <w:name w:val="font7"/>
    <w:basedOn w:val="1"/>
    <w:qFormat/>
    <w:uiPriority w:val="0"/>
    <w:pPr>
      <w:widowControl/>
      <w:spacing w:before="100" w:beforeAutospacing="1" w:after="100" w:afterAutospacing="1" w:line="240" w:lineRule="auto"/>
      <w:jc w:val="left"/>
    </w:pPr>
    <w:rPr>
      <w:sz w:val="20"/>
      <w:szCs w:val="20"/>
    </w:rPr>
  </w:style>
  <w:style w:type="paragraph" w:customStyle="1" w:styleId="383">
    <w:name w:val="xl28"/>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line="240" w:lineRule="auto"/>
      <w:jc w:val="center"/>
    </w:pPr>
    <w:rPr>
      <w:rFonts w:ascii="宋体" w:hAnsi="宋体"/>
      <w:b/>
      <w:bCs/>
      <w:sz w:val="20"/>
      <w:szCs w:val="20"/>
    </w:rPr>
  </w:style>
  <w:style w:type="paragraph" w:customStyle="1" w:styleId="384">
    <w:name w:val="p17"/>
    <w:basedOn w:val="1"/>
    <w:qFormat/>
    <w:uiPriority w:val="0"/>
    <w:pPr>
      <w:widowControl/>
      <w:spacing w:line="360" w:lineRule="auto"/>
    </w:pPr>
    <w:rPr>
      <w:rFonts w:ascii="Arial" w:hAnsi="Arial" w:cs="Arial"/>
      <w:sz w:val="30"/>
      <w:szCs w:val="30"/>
    </w:rPr>
  </w:style>
  <w:style w:type="paragraph" w:customStyle="1" w:styleId="385">
    <w:name w:val="Char1 Char Char Char"/>
    <w:basedOn w:val="1"/>
    <w:qFormat/>
    <w:uiPriority w:val="0"/>
    <w:pPr>
      <w:spacing w:line="240" w:lineRule="auto"/>
    </w:pPr>
    <w:rPr>
      <w:rFonts w:ascii="Tahoma" w:hAnsi="Tahoma"/>
      <w:sz w:val="24"/>
      <w:szCs w:val="20"/>
    </w:rPr>
  </w:style>
  <w:style w:type="paragraph" w:customStyle="1" w:styleId="386">
    <w:name w:val="xl24"/>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line="240" w:lineRule="auto"/>
      <w:jc w:val="center"/>
    </w:pPr>
    <w:rPr>
      <w:sz w:val="20"/>
      <w:szCs w:val="20"/>
    </w:rPr>
  </w:style>
  <w:style w:type="paragraph" w:customStyle="1" w:styleId="387">
    <w:name w:val="标题2"/>
    <w:basedOn w:val="237"/>
    <w:qFormat/>
    <w:uiPriority w:val="0"/>
    <w:pPr>
      <w:jc w:val="left"/>
    </w:pPr>
  </w:style>
  <w:style w:type="paragraph" w:customStyle="1" w:styleId="388">
    <w:name w:val="标题 2 + 黑色 行距: 1.5 倍行距"/>
    <w:basedOn w:val="187"/>
    <w:qFormat/>
    <w:uiPriority w:val="0"/>
    <w:pPr>
      <w:spacing w:line="360" w:lineRule="auto"/>
    </w:pPr>
    <w:rPr>
      <w:rFonts w:eastAsia="宋体" w:cs="宋体"/>
      <w:color w:val="000000"/>
      <w:szCs w:val="20"/>
    </w:rPr>
  </w:style>
  <w:style w:type="paragraph" w:customStyle="1" w:styleId="389">
    <w:name w:val="cjk"/>
    <w:basedOn w:val="1"/>
    <w:qFormat/>
    <w:uiPriority w:val="0"/>
    <w:pPr>
      <w:widowControl/>
      <w:spacing w:line="240" w:lineRule="auto"/>
      <w:jc w:val="left"/>
    </w:pPr>
    <w:rPr>
      <w:rFonts w:hint="eastAsia" w:ascii="宋体" w:hAnsi="宋体"/>
      <w:sz w:val="20"/>
      <w:szCs w:val="20"/>
    </w:rPr>
  </w:style>
  <w:style w:type="paragraph" w:customStyle="1" w:styleId="390">
    <w:name w:val="Char Char Char Char Char Char Char Char Char1 Char1"/>
    <w:basedOn w:val="209"/>
    <w:qFormat/>
    <w:uiPriority w:val="0"/>
    <w:pPr>
      <w:spacing w:line="360" w:lineRule="auto"/>
    </w:pPr>
    <w:rPr>
      <w:rFonts w:ascii="Tahoma" w:hAnsi="Tahoma"/>
      <w:sz w:val="24"/>
    </w:rPr>
  </w:style>
  <w:style w:type="paragraph" w:customStyle="1" w:styleId="391">
    <w:name w:val="b-b3"/>
    <w:basedOn w:val="188"/>
    <w:next w:val="1"/>
    <w:qFormat/>
    <w:uiPriority w:val="0"/>
    <w:pPr>
      <w:keepNext w:val="0"/>
      <w:keepLines w:val="0"/>
      <w:framePr w:hSpace="180" w:wrap="around" w:vAnchor="text" w:hAnchor="text" w:xAlign="center" w:y="1"/>
      <w:tabs>
        <w:tab w:val="left" w:pos="720"/>
      </w:tabs>
      <w:spacing w:before="0" w:after="0" w:line="240" w:lineRule="auto"/>
      <w:ind w:firstLine="0"/>
      <w:jc w:val="center"/>
      <w:outlineLvl w:val="0"/>
    </w:pPr>
    <w:rPr>
      <w:rFonts w:ascii="Arial" w:hAnsi="Arial" w:eastAsia="宋体" w:cs="Arial"/>
      <w:szCs w:val="24"/>
    </w:rPr>
  </w:style>
  <w:style w:type="paragraph" w:customStyle="1" w:styleId="392">
    <w:name w:val="_Style 1"/>
    <w:basedOn w:val="1"/>
    <w:qFormat/>
    <w:uiPriority w:val="34"/>
    <w:pPr>
      <w:widowControl/>
      <w:spacing w:line="240" w:lineRule="auto"/>
      <w:ind w:firstLine="420"/>
      <w:jc w:val="left"/>
    </w:pPr>
    <w:rPr>
      <w:sz w:val="24"/>
      <w:szCs w:val="20"/>
    </w:rPr>
  </w:style>
  <w:style w:type="paragraph" w:customStyle="1" w:styleId="393">
    <w:name w:val="font9"/>
    <w:basedOn w:val="1"/>
    <w:qFormat/>
    <w:uiPriority w:val="0"/>
    <w:pPr>
      <w:widowControl/>
      <w:spacing w:before="100" w:beforeAutospacing="1" w:after="100" w:afterAutospacing="1" w:line="240" w:lineRule="auto"/>
      <w:jc w:val="left"/>
    </w:pPr>
    <w:rPr>
      <w:sz w:val="20"/>
      <w:szCs w:val="20"/>
    </w:rPr>
  </w:style>
  <w:style w:type="paragraph" w:customStyle="1" w:styleId="394">
    <w:name w:val="Char Char Char Char Char Char1"/>
    <w:basedOn w:val="209"/>
    <w:qFormat/>
    <w:uiPriority w:val="0"/>
    <w:pPr>
      <w:spacing w:line="360" w:lineRule="auto"/>
    </w:pPr>
    <w:rPr>
      <w:rFonts w:ascii="Tahoma" w:hAnsi="Tahoma"/>
      <w:sz w:val="24"/>
      <w:szCs w:val="20"/>
    </w:rPr>
  </w:style>
  <w:style w:type="paragraph" w:customStyle="1" w:styleId="395">
    <w:name w:val="xl31"/>
    <w:basedOn w:val="1"/>
    <w:qFormat/>
    <w:uiPriority w:val="0"/>
    <w:pPr>
      <w:widowControl/>
      <w:pBdr>
        <w:bottom w:val="single" w:color="000000" w:sz="4" w:space="0"/>
        <w:right w:val="single" w:color="000000" w:sz="4" w:space="0"/>
      </w:pBdr>
      <w:spacing w:before="100" w:beforeAutospacing="1" w:after="100" w:afterAutospacing="1" w:line="240" w:lineRule="auto"/>
      <w:jc w:val="center"/>
    </w:pPr>
    <w:rPr>
      <w:rFonts w:ascii="宋体" w:hAnsi="宋体"/>
      <w:szCs w:val="20"/>
    </w:rPr>
  </w:style>
  <w:style w:type="paragraph" w:customStyle="1" w:styleId="396">
    <w:name w:val="bt1bt1"/>
    <w:basedOn w:val="186"/>
    <w:qFormat/>
    <w:uiPriority w:val="0"/>
    <w:pPr>
      <w:spacing w:line="240" w:lineRule="auto"/>
    </w:pPr>
    <w:rPr>
      <w:rFonts w:ascii="黑体" w:eastAsia="黑体"/>
      <w:b w:val="0"/>
      <w:sz w:val="36"/>
      <w:szCs w:val="36"/>
    </w:rPr>
  </w:style>
  <w:style w:type="paragraph" w:customStyle="1" w:styleId="397">
    <w:name w:val="NRSection"/>
    <w:basedOn w:val="1"/>
    <w:qFormat/>
    <w:uiPriority w:val="0"/>
    <w:pPr>
      <w:widowControl/>
      <w:spacing w:line="240" w:lineRule="auto"/>
      <w:jc w:val="left"/>
      <w:outlineLvl w:val="4"/>
    </w:pPr>
    <w:rPr>
      <w:b/>
      <w:sz w:val="24"/>
      <w:szCs w:val="20"/>
    </w:rPr>
  </w:style>
  <w:style w:type="paragraph" w:customStyle="1" w:styleId="398">
    <w:name w:val="xl30"/>
    <w:basedOn w:val="1"/>
    <w:qFormat/>
    <w:uiPriority w:val="0"/>
    <w:pPr>
      <w:widowControl/>
      <w:spacing w:before="100" w:beforeAutospacing="1" w:after="100" w:afterAutospacing="1" w:line="240" w:lineRule="auto"/>
      <w:jc w:val="center"/>
    </w:pPr>
    <w:rPr>
      <w:rFonts w:ascii="宋体" w:hAnsi="宋体"/>
      <w:b/>
      <w:bCs/>
      <w:sz w:val="28"/>
      <w:szCs w:val="28"/>
    </w:rPr>
  </w:style>
  <w:style w:type="paragraph" w:customStyle="1" w:styleId="399">
    <w:name w:val="_Style 12"/>
    <w:basedOn w:val="209"/>
    <w:qFormat/>
    <w:uiPriority w:val="0"/>
    <w:pPr>
      <w:spacing w:line="360" w:lineRule="auto"/>
    </w:pPr>
    <w:rPr>
      <w:szCs w:val="20"/>
    </w:rPr>
  </w:style>
  <w:style w:type="paragraph" w:customStyle="1" w:styleId="400">
    <w:name w:val="Char1 Char Char Char1"/>
    <w:basedOn w:val="1"/>
    <w:qFormat/>
    <w:uiPriority w:val="0"/>
    <w:pPr>
      <w:spacing w:line="240" w:lineRule="auto"/>
    </w:pPr>
    <w:rPr>
      <w:rFonts w:ascii="Tahoma" w:hAnsi="Tahoma"/>
      <w:sz w:val="24"/>
      <w:szCs w:val="20"/>
    </w:rPr>
  </w:style>
  <w:style w:type="paragraph" w:styleId="401">
    <w:name w:val="List Paragraph"/>
    <w:basedOn w:val="1"/>
    <w:qFormat/>
    <w:uiPriority w:val="0"/>
    <w:pPr>
      <w:spacing w:line="240" w:lineRule="auto"/>
      <w:ind w:firstLine="420"/>
    </w:pPr>
    <w:rPr>
      <w:rFonts w:ascii="Calibri" w:hAnsi="Calibri"/>
      <w:szCs w:val="22"/>
    </w:rPr>
  </w:style>
  <w:style w:type="paragraph" w:customStyle="1" w:styleId="402">
    <w:name w:val="Char Char2 Char Char1"/>
    <w:basedOn w:val="209"/>
    <w:unhideWhenUsed/>
    <w:qFormat/>
    <w:uiPriority w:val="99"/>
    <w:rPr>
      <w:rFonts w:hint="eastAsia" w:ascii="Tahoma" w:hAnsi="Tahoma"/>
      <w:sz w:val="24"/>
    </w:rPr>
  </w:style>
  <w:style w:type="table" w:customStyle="1" w:styleId="403">
    <w:name w:val="浅色列表1"/>
    <w:basedOn w:val="196"/>
    <w:qFormat/>
    <w:uiPriority w:val="61"/>
  </w:style>
  <w:style w:type="character" w:customStyle="1" w:styleId="404">
    <w:name w:val="纯文本 Char"/>
    <w:qFormat/>
    <w:uiPriority w:val="0"/>
    <w:rPr>
      <w:rFonts w:ascii="宋体" w:hAnsi="Courier New"/>
      <w:sz w:val="28"/>
    </w:rPr>
  </w:style>
  <w:style w:type="character" w:customStyle="1" w:styleId="405">
    <w:name w:val="无间隔 Char"/>
    <w:qFormat/>
    <w:uiPriority w:val="1"/>
    <w:rPr>
      <w:sz w:val="21"/>
      <w:szCs w:val="24"/>
      <w:lang w:val="en-US" w:eastAsia="zh-CN" w:bidi="ar-SA"/>
    </w:rPr>
  </w:style>
  <w:style w:type="paragraph" w:customStyle="1" w:styleId="406">
    <w:name w:val="msonormal"/>
    <w:basedOn w:val="1"/>
    <w:qFormat/>
    <w:uiPriority w:val="0"/>
    <w:pPr>
      <w:widowControl/>
      <w:spacing w:before="100" w:beforeAutospacing="1" w:after="100" w:afterAutospacing="1" w:line="240" w:lineRule="auto"/>
      <w:jc w:val="left"/>
    </w:pPr>
    <w:rPr>
      <w:rFonts w:ascii="宋体" w:hAnsi="宋体" w:cs="宋体"/>
      <w:sz w:val="24"/>
    </w:rPr>
  </w:style>
  <w:style w:type="paragraph" w:customStyle="1" w:styleId="407">
    <w:name w:val="xl65"/>
    <w:basedOn w:val="1"/>
    <w:qFormat/>
    <w:uiPriority w:val="0"/>
    <w:pPr>
      <w:widowControl/>
      <w:spacing w:before="100" w:beforeAutospacing="1" w:after="100" w:afterAutospacing="1" w:line="240" w:lineRule="auto"/>
      <w:jc w:val="center"/>
    </w:pPr>
    <w:rPr>
      <w:rFonts w:ascii="宋体" w:hAnsi="宋体" w:cs="宋体"/>
      <w:sz w:val="28"/>
      <w:szCs w:val="28"/>
    </w:rPr>
  </w:style>
  <w:style w:type="paragraph" w:customStyle="1" w:styleId="408">
    <w:name w:val="xl66"/>
    <w:basedOn w:val="1"/>
    <w:qFormat/>
    <w:uiPriority w:val="0"/>
    <w:pPr>
      <w:widowControl/>
      <w:spacing w:before="100" w:beforeAutospacing="1" w:after="100" w:afterAutospacing="1" w:line="240" w:lineRule="auto"/>
      <w:jc w:val="center"/>
    </w:pPr>
    <w:rPr>
      <w:rFonts w:ascii="宋体" w:hAnsi="宋体" w:cs="宋体"/>
      <w:sz w:val="28"/>
      <w:szCs w:val="28"/>
    </w:rPr>
  </w:style>
  <w:style w:type="paragraph" w:customStyle="1" w:styleId="409">
    <w:name w:val="xl67"/>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line="240" w:lineRule="auto"/>
      <w:jc w:val="center"/>
    </w:pPr>
    <w:rPr>
      <w:rFonts w:ascii="仿宋" w:hAnsi="仿宋" w:eastAsia="仿宋" w:cs="宋体"/>
      <w:b/>
      <w:bCs/>
      <w:sz w:val="20"/>
      <w:szCs w:val="20"/>
    </w:rPr>
  </w:style>
  <w:style w:type="paragraph" w:customStyle="1" w:styleId="410">
    <w:name w:val="xl68"/>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line="240" w:lineRule="auto"/>
      <w:jc w:val="center"/>
    </w:pPr>
    <w:rPr>
      <w:rFonts w:ascii="仿宋" w:hAnsi="仿宋" w:eastAsia="仿宋" w:cs="宋体"/>
      <w:b/>
      <w:bCs/>
      <w:sz w:val="20"/>
      <w:szCs w:val="20"/>
    </w:rPr>
  </w:style>
  <w:style w:type="paragraph" w:customStyle="1" w:styleId="411">
    <w:name w:val="xl69"/>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line="240" w:lineRule="auto"/>
      <w:jc w:val="center"/>
    </w:pPr>
    <w:rPr>
      <w:rFonts w:ascii="仿宋" w:hAnsi="仿宋" w:eastAsia="仿宋" w:cs="宋体"/>
      <w:sz w:val="20"/>
      <w:szCs w:val="20"/>
    </w:rPr>
  </w:style>
  <w:style w:type="paragraph" w:customStyle="1" w:styleId="412">
    <w:name w:val="xl70"/>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line="240" w:lineRule="auto"/>
      <w:jc w:val="center"/>
    </w:pPr>
    <w:rPr>
      <w:rFonts w:ascii="仿宋" w:hAnsi="仿宋" w:eastAsia="仿宋" w:cs="宋体"/>
      <w:sz w:val="20"/>
      <w:szCs w:val="20"/>
    </w:rPr>
  </w:style>
  <w:style w:type="paragraph" w:customStyle="1" w:styleId="413">
    <w:name w:val="xl71"/>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line="240" w:lineRule="auto"/>
      <w:jc w:val="left"/>
    </w:pPr>
    <w:rPr>
      <w:rFonts w:ascii="仿宋" w:hAnsi="仿宋" w:eastAsia="仿宋" w:cs="宋体"/>
      <w:sz w:val="20"/>
      <w:szCs w:val="20"/>
    </w:rPr>
  </w:style>
  <w:style w:type="paragraph" w:customStyle="1" w:styleId="414">
    <w:name w:val="xl72"/>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line="240" w:lineRule="auto"/>
      <w:jc w:val="center"/>
    </w:pPr>
    <w:rPr>
      <w:rFonts w:ascii="仿宋" w:hAnsi="仿宋" w:eastAsia="仿宋" w:cs="宋体"/>
      <w:color w:val="FF0000"/>
      <w:sz w:val="20"/>
      <w:szCs w:val="20"/>
    </w:rPr>
  </w:style>
  <w:style w:type="paragraph" w:customStyle="1" w:styleId="415">
    <w:name w:val="xl73"/>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line="240" w:lineRule="auto"/>
      <w:jc w:val="center"/>
    </w:pPr>
    <w:rPr>
      <w:rFonts w:ascii="仿宋" w:hAnsi="仿宋" w:eastAsia="仿宋" w:cs="宋体"/>
      <w:color w:val="FF0000"/>
      <w:sz w:val="20"/>
      <w:szCs w:val="20"/>
    </w:rPr>
  </w:style>
  <w:style w:type="character" w:customStyle="1" w:styleId="416">
    <w:name w:val="批注文字 Char1"/>
    <w:semiHidden/>
    <w:qFormat/>
    <w:uiPriority w:val="99"/>
    <w:rPr>
      <w:sz w:val="21"/>
    </w:rPr>
  </w:style>
  <w:style w:type="character" w:customStyle="1" w:styleId="417">
    <w:name w:val="正文缩进 Char"/>
    <w:qFormat/>
    <w:uiPriority w:val="0"/>
    <w:rPr>
      <w:b/>
      <w:sz w:val="24"/>
    </w:rPr>
  </w:style>
  <w:style w:type="character" w:customStyle="1" w:styleId="418">
    <w:name w:val="脚注文本 Char"/>
    <w:qFormat/>
    <w:uiPriority w:val="0"/>
  </w:style>
  <w:style w:type="character" w:customStyle="1" w:styleId="419">
    <w:name w:val="正文缩进 字符1"/>
    <w:qFormat/>
    <w:uiPriority w:val="99"/>
    <w:rPr>
      <w:sz w:val="21"/>
    </w:rPr>
  </w:style>
  <w:style w:type="character" w:customStyle="1" w:styleId="420">
    <w:name w:val="表 Char Char"/>
    <w:link w:val="421"/>
    <w:qFormat/>
    <w:uiPriority w:val="0"/>
    <w:rPr>
      <w:rFonts w:ascii="宋体" w:hAnsi="宋体" w:cs="宋体"/>
      <w:color w:val="000000"/>
      <w:szCs w:val="22"/>
    </w:rPr>
  </w:style>
  <w:style w:type="paragraph" w:customStyle="1" w:styleId="421">
    <w:name w:val="表"/>
    <w:link w:val="420"/>
    <w:qFormat/>
    <w:uiPriority w:val="0"/>
    <w:pPr>
      <w:jc w:val="center"/>
    </w:pPr>
    <w:rPr>
      <w:rFonts w:ascii="宋体" w:hAnsi="宋体" w:eastAsia="宋体" w:cs="宋体"/>
      <w:color w:val="000000"/>
      <w:szCs w:val="22"/>
      <w:lang w:val="en-US" w:eastAsia="zh-CN" w:bidi="ar-SA"/>
    </w:rPr>
  </w:style>
  <w:style w:type="paragraph" w:customStyle="1" w:styleId="422">
    <w:name w:val="正文_41"/>
    <w:basedOn w:val="1"/>
    <w:qFormat/>
    <w:uiPriority w:val="0"/>
    <w:pPr>
      <w:spacing w:line="240" w:lineRule="auto"/>
      <w:jc w:val="left"/>
    </w:pPr>
    <w:rPr>
      <w:sz w:val="44"/>
    </w:rPr>
  </w:style>
  <w:style w:type="paragraph" w:customStyle="1" w:styleId="423">
    <w:name w:val="null3"/>
    <w:qFormat/>
    <w:uiPriority w:val="0"/>
    <w:rPr>
      <w:rFonts w:hint="eastAsia" w:ascii="Calibri" w:hAnsi="Calibri" w:eastAsia="宋体" w:cs="Times New Roman"/>
      <w:lang w:val="en-US" w:eastAsia="zh-CN" w:bidi="ar-SA"/>
    </w:rPr>
  </w:style>
  <w:style w:type="paragraph" w:customStyle="1" w:styleId="424">
    <w:name w:val="普通正文"/>
    <w:qFormat/>
    <w:uiPriority w:val="0"/>
    <w:pPr>
      <w:widowControl w:val="0"/>
      <w:spacing w:before="120" w:after="120" w:line="360" w:lineRule="auto"/>
      <w:ind w:firstLine="480"/>
    </w:pPr>
    <w:rPr>
      <w:rFonts w:ascii="Arial" w:hAnsi="Arial" w:eastAsia="宋体" w:cs="Times New Roman"/>
      <w:sz w:val="24"/>
      <w:szCs w:val="24"/>
      <w:lang w:val="en-US" w:eastAsia="zh-CN" w:bidi="ar-SA"/>
    </w:rPr>
  </w:style>
  <w:style w:type="paragraph" w:customStyle="1" w:styleId="425">
    <w:name w:val="内容样式"/>
    <w:basedOn w:val="1"/>
    <w:unhideWhenUsed/>
    <w:qFormat/>
    <w:uiPriority w:val="0"/>
    <w:pPr>
      <w:widowControl/>
      <w:spacing w:line="460" w:lineRule="exact"/>
      <w:ind w:firstLine="560"/>
      <w:jc w:val="left"/>
    </w:pPr>
    <w:rPr>
      <w:rFonts w:hint="eastAsia" w:ascii="仿宋_GB2312" w:hAnsi="仿宋_GB2312" w:eastAsia="仿宋_GB2312" w:cs="宋体"/>
      <w:sz w:val="28"/>
      <w:szCs w:val="20"/>
    </w:rPr>
  </w:style>
  <w:style w:type="character" w:customStyle="1" w:styleId="426">
    <w:name w:val="NormalCharacter1"/>
    <w:qFormat/>
    <w:uiPriority w:val="0"/>
    <w:rPr>
      <w:rFonts w:ascii="Calibri" w:hAnsi="Calibri" w:eastAsia="宋体" w:cs="Times New Roman"/>
      <w:sz w:val="21"/>
      <w:szCs w:val="24"/>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footer" Target="footer4.xml"/><Relationship Id="rId8" Type="http://schemas.openxmlformats.org/officeDocument/2006/relationships/footer" Target="footer3.xml"/><Relationship Id="rId7" Type="http://schemas.openxmlformats.org/officeDocument/2006/relationships/footer" Target="footer2.xml"/><Relationship Id="rId6" Type="http://schemas.openxmlformats.org/officeDocument/2006/relationships/footer" Target="footer1.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3" Type="http://schemas.openxmlformats.org/officeDocument/2006/relationships/fontTable" Target="fontTable.xml"/><Relationship Id="rId12" Type="http://schemas.openxmlformats.org/officeDocument/2006/relationships/numbering" Target="numbering.xml"/><Relationship Id="rId11" Type="http://schemas.openxmlformats.org/officeDocument/2006/relationships/customXml" Target="../customXml/item1.xml"/><Relationship Id="rId10" Type="http://schemas.openxmlformats.org/officeDocument/2006/relationships/theme" Target="theme/theme1.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7"/>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微软</Company>
  <Pages>58</Pages>
  <Words>28956</Words>
  <Characters>30400</Characters>
  <Lines>249</Lines>
  <Paragraphs>70</Paragraphs>
  <TotalTime>9</TotalTime>
  <ScaleCrop>false</ScaleCrop>
  <LinksUpToDate>false</LinksUpToDate>
  <CharactersWithSpaces>32308</CharactersWithSpaces>
  <Application>WPS Office_12.1.0.23542_F1E327BC-269C-435d-A152-05C5408002CA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2024-11-22T14:35:00Z</dcterms:created>
  <dc:creator>kikm</dc:creator>
  <cp:lastModifiedBy>草莓熊</cp:lastModifiedBy>
  <cp:lastPrinted>2025-11-03T00:58:00Z</cp:lastPrinted>
  <dcterms:modified xsi:type="dcterms:W3CDTF">2025-11-10T08:54:20Z</dcterms:modified>
  <dc:title>江苏省房屋建筑和</dc:title>
  <cp:revision>32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eyJoZGlkIjoiZjIwNDlhOTY0NGU2MzFhNGI1MjNlMjI4NmRmZWY1NmQiLCJ1c2VySWQiOiI2OTIyNjM3NzAifQ==</vt:lpwstr>
  </property>
  <property fmtid="{D5CDD505-2E9C-101B-9397-08002B2CF9AE}" pid="3" name="KSOProductBuildVer">
    <vt:lpwstr>2052-12.1.0.23542</vt:lpwstr>
  </property>
  <property fmtid="{D5CDD505-2E9C-101B-9397-08002B2CF9AE}" pid="4" name="ICV">
    <vt:lpwstr>C2D63EBEB1654A2F8B85AEAA126F78BB_12</vt:lpwstr>
  </property>
</Properties>
</file>